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8BF" w:rsidRDefault="004D48BF" w:rsidP="00603D94">
      <w:pPr>
        <w:tabs>
          <w:tab w:val="left" w:pos="720"/>
          <w:tab w:val="left" w:pos="1267"/>
          <w:tab w:val="left" w:pos="1886"/>
          <w:tab w:val="left" w:pos="2880"/>
        </w:tabs>
        <w:spacing w:line="240" w:lineRule="atLeast"/>
        <w:jc w:val="right"/>
        <w:rPr>
          <w:b/>
        </w:rPr>
      </w:pPr>
    </w:p>
    <w:p w:rsidR="0086053B" w:rsidRPr="00603D94" w:rsidRDefault="00721EFD" w:rsidP="00603D94">
      <w:pPr>
        <w:tabs>
          <w:tab w:val="left" w:pos="720"/>
          <w:tab w:val="left" w:pos="1267"/>
          <w:tab w:val="left" w:pos="1886"/>
          <w:tab w:val="left" w:pos="2880"/>
        </w:tabs>
        <w:spacing w:line="240" w:lineRule="atLeast"/>
        <w:jc w:val="right"/>
      </w:pPr>
      <w:r>
        <w:rPr>
          <w:b/>
        </w:rPr>
        <w:t>(709PGM</w:t>
      </w:r>
      <w:r w:rsidR="004D48BF">
        <w:rPr>
          <w:b/>
        </w:rPr>
        <w:t>N</w:t>
      </w:r>
      <w:r>
        <w:rPr>
          <w:b/>
        </w:rPr>
        <w:t>T</w:t>
      </w:r>
      <w:r w:rsidR="0050213E" w:rsidRPr="00603D94">
        <w:rPr>
          <w:b/>
        </w:rPr>
        <w:t xml:space="preserve">, </w:t>
      </w:r>
      <w:r w:rsidR="000F1E71">
        <w:rPr>
          <w:b/>
        </w:rPr>
        <w:t>08</w:t>
      </w:r>
      <w:r w:rsidR="00A027F2">
        <w:rPr>
          <w:b/>
        </w:rPr>
        <w:t>/</w:t>
      </w:r>
      <w:r w:rsidR="000F1E71">
        <w:rPr>
          <w:b/>
        </w:rPr>
        <w:t>18</w:t>
      </w:r>
      <w:r w:rsidR="00A027F2">
        <w:rPr>
          <w:b/>
        </w:rPr>
        <w:t>/22</w:t>
      </w:r>
      <w:r w:rsidR="0050213E" w:rsidRPr="00603D94">
        <w:rPr>
          <w:b/>
        </w:rPr>
        <w:t>)</w:t>
      </w:r>
    </w:p>
    <w:p w:rsidR="0086053B" w:rsidRPr="00741633" w:rsidRDefault="0086053B" w:rsidP="00603D94">
      <w:pPr>
        <w:tabs>
          <w:tab w:val="left" w:pos="720"/>
          <w:tab w:val="left" w:pos="1267"/>
          <w:tab w:val="left" w:pos="2880"/>
        </w:tabs>
        <w:suppressAutoHyphens/>
        <w:jc w:val="both"/>
      </w:pPr>
    </w:p>
    <w:p w:rsidR="0050213E" w:rsidRPr="00603D94" w:rsidRDefault="0050213E" w:rsidP="00603D94">
      <w:pPr>
        <w:tabs>
          <w:tab w:val="left" w:pos="720"/>
          <w:tab w:val="left" w:pos="1267"/>
          <w:tab w:val="left" w:pos="1886"/>
          <w:tab w:val="left" w:pos="2880"/>
        </w:tabs>
        <w:suppressAutoHyphens/>
        <w:ind w:left="1886" w:hanging="1886"/>
        <w:jc w:val="both"/>
      </w:pPr>
      <w:r w:rsidRPr="00603D94">
        <w:rPr>
          <w:b/>
        </w:rPr>
        <w:t>SECTION 70</w:t>
      </w:r>
      <w:r w:rsidR="00721EFD">
        <w:rPr>
          <w:b/>
        </w:rPr>
        <w:t>9</w:t>
      </w:r>
      <w:r w:rsidR="00CF6B27">
        <w:tab/>
      </w:r>
      <w:r w:rsidR="00721EFD">
        <w:rPr>
          <w:b/>
        </w:rPr>
        <w:t>DUAL COMPONENT PAVEMENT MARKINGS</w:t>
      </w:r>
      <w:r w:rsidRPr="00603D94">
        <w:rPr>
          <w:b/>
        </w:rPr>
        <w:t>:</w:t>
      </w:r>
    </w:p>
    <w:p w:rsidR="005225C1" w:rsidRPr="00603D94" w:rsidRDefault="005225C1" w:rsidP="00603D94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</w:pPr>
    </w:p>
    <w:p w:rsidR="008B7373" w:rsidRPr="000F28D8" w:rsidRDefault="00721EFD" w:rsidP="001A07C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2160" w:hanging="2160"/>
        <w:jc w:val="both"/>
      </w:pPr>
      <w:r>
        <w:rPr>
          <w:b/>
        </w:rPr>
        <w:t>709</w:t>
      </w:r>
      <w:r w:rsidR="008B7373" w:rsidRPr="000F28D8">
        <w:rPr>
          <w:b/>
        </w:rPr>
        <w:t>-</w:t>
      </w:r>
      <w:r>
        <w:rPr>
          <w:b/>
        </w:rPr>
        <w:t>2.02(A)</w:t>
      </w:r>
      <w:r w:rsidR="008B7373" w:rsidRPr="000F28D8">
        <w:tab/>
      </w:r>
      <w:r>
        <w:rPr>
          <w:b/>
        </w:rPr>
        <w:t>Composition</w:t>
      </w:r>
      <w:r w:rsidR="008B7373" w:rsidRPr="000F28D8">
        <w:rPr>
          <w:b/>
        </w:rPr>
        <w:t>:</w:t>
      </w:r>
      <w:r w:rsidR="008B7373" w:rsidRPr="000F28D8">
        <w:t xml:space="preserve">  </w:t>
      </w:r>
      <w:r w:rsidR="00946D7B" w:rsidRPr="000F28D8">
        <w:t>of the Standard Specifications is revised to read:</w:t>
      </w:r>
    </w:p>
    <w:p w:rsidR="008B7373" w:rsidRPr="000F28D8" w:rsidRDefault="008B7373" w:rsidP="001A07C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</w:pPr>
    </w:p>
    <w:p w:rsidR="006519EF" w:rsidRDefault="006519EF" w:rsidP="006519EF">
      <w:pPr>
        <w:rPr>
          <w:rFonts w:cs="Arial"/>
          <w:szCs w:val="24"/>
        </w:rPr>
      </w:pPr>
      <w:r w:rsidRPr="006519EF">
        <w:rPr>
          <w:rFonts w:cs="Arial"/>
          <w:szCs w:val="24"/>
        </w:rPr>
        <w:t>The epoxy resin material shall be within the following compositional requirements:</w:t>
      </w:r>
    </w:p>
    <w:p w:rsidR="006519EF" w:rsidRPr="006519EF" w:rsidRDefault="006519EF" w:rsidP="006519EF">
      <w:pPr>
        <w:rPr>
          <w:rFonts w:cs="Arial"/>
          <w:szCs w:val="24"/>
        </w:rPr>
      </w:pPr>
    </w:p>
    <w:tbl>
      <w:tblPr>
        <w:tblW w:w="0" w:type="auto"/>
        <w:jc w:val="center"/>
        <w:tblInd w:w="-8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2"/>
        <w:gridCol w:w="1674"/>
        <w:gridCol w:w="2070"/>
      </w:tblGrid>
      <w:tr w:rsidR="006519EF" w:rsidRPr="006519EF" w:rsidTr="00946D7B">
        <w:trPr>
          <w:jc w:val="center"/>
        </w:trPr>
        <w:tc>
          <w:tcPr>
            <w:tcW w:w="4302" w:type="dxa"/>
            <w:vMerge w:val="restart"/>
            <w:vAlign w:val="center"/>
          </w:tcPr>
          <w:p w:rsidR="006519EF" w:rsidRPr="006519EF" w:rsidRDefault="006519EF" w:rsidP="006519EF">
            <w:pPr>
              <w:pStyle w:val="TableHeading"/>
              <w:rPr>
                <w:rFonts w:cs="Arial"/>
                <w:spacing w:val="0"/>
                <w:sz w:val="24"/>
                <w:szCs w:val="24"/>
              </w:rPr>
            </w:pPr>
            <w:r w:rsidRPr="006519EF">
              <w:rPr>
                <w:rFonts w:cs="Arial"/>
                <w:spacing w:val="0"/>
                <w:sz w:val="24"/>
                <w:szCs w:val="24"/>
              </w:rPr>
              <w:t>Component</w:t>
            </w:r>
          </w:p>
        </w:tc>
        <w:tc>
          <w:tcPr>
            <w:tcW w:w="3744" w:type="dxa"/>
            <w:gridSpan w:val="2"/>
            <w:vAlign w:val="center"/>
          </w:tcPr>
          <w:p w:rsidR="006519EF" w:rsidRPr="006519EF" w:rsidRDefault="006519EF" w:rsidP="006519EF">
            <w:pPr>
              <w:pStyle w:val="TableHeading"/>
              <w:rPr>
                <w:rFonts w:cs="Arial"/>
                <w:spacing w:val="0"/>
                <w:sz w:val="24"/>
                <w:szCs w:val="24"/>
              </w:rPr>
            </w:pPr>
            <w:r w:rsidRPr="006519EF">
              <w:rPr>
                <w:rFonts w:cs="Arial"/>
                <w:spacing w:val="0"/>
                <w:sz w:val="24"/>
                <w:szCs w:val="24"/>
              </w:rPr>
              <w:t>Percent by Weight</w:t>
            </w:r>
          </w:p>
        </w:tc>
      </w:tr>
      <w:tr w:rsidR="006519EF" w:rsidRPr="006519EF" w:rsidTr="00946D7B">
        <w:trPr>
          <w:jc w:val="center"/>
        </w:trPr>
        <w:tc>
          <w:tcPr>
            <w:tcW w:w="4302" w:type="dxa"/>
            <w:vMerge/>
            <w:vAlign w:val="center"/>
          </w:tcPr>
          <w:p w:rsidR="006519EF" w:rsidRPr="006519EF" w:rsidRDefault="006519EF" w:rsidP="006519EF">
            <w:pPr>
              <w:pStyle w:val="TableHeading"/>
              <w:rPr>
                <w:rFonts w:cs="Arial"/>
                <w:spacing w:val="0"/>
                <w:sz w:val="24"/>
                <w:szCs w:val="24"/>
              </w:rPr>
            </w:pPr>
          </w:p>
        </w:tc>
        <w:tc>
          <w:tcPr>
            <w:tcW w:w="1674" w:type="dxa"/>
            <w:vAlign w:val="center"/>
          </w:tcPr>
          <w:p w:rsidR="006519EF" w:rsidRPr="006519EF" w:rsidRDefault="006519EF" w:rsidP="006519EF">
            <w:pPr>
              <w:pStyle w:val="TableHeading"/>
              <w:rPr>
                <w:rFonts w:cs="Arial"/>
                <w:spacing w:val="0"/>
                <w:sz w:val="24"/>
                <w:szCs w:val="24"/>
              </w:rPr>
            </w:pPr>
            <w:r w:rsidRPr="006519EF">
              <w:rPr>
                <w:rFonts w:cs="Arial"/>
                <w:spacing w:val="0"/>
                <w:sz w:val="24"/>
                <w:szCs w:val="24"/>
              </w:rPr>
              <w:t>White</w:t>
            </w:r>
          </w:p>
        </w:tc>
        <w:tc>
          <w:tcPr>
            <w:tcW w:w="2070" w:type="dxa"/>
            <w:vAlign w:val="center"/>
          </w:tcPr>
          <w:p w:rsidR="006519EF" w:rsidRPr="006519EF" w:rsidRDefault="006519EF" w:rsidP="006519EF">
            <w:pPr>
              <w:pStyle w:val="TableHeading"/>
              <w:rPr>
                <w:rFonts w:cs="Arial"/>
                <w:spacing w:val="0"/>
                <w:sz w:val="24"/>
                <w:szCs w:val="24"/>
              </w:rPr>
            </w:pPr>
            <w:r w:rsidRPr="006519EF">
              <w:rPr>
                <w:rFonts w:cs="Arial"/>
                <w:spacing w:val="0"/>
                <w:sz w:val="24"/>
                <w:szCs w:val="24"/>
              </w:rPr>
              <w:t>Yellow</w:t>
            </w:r>
          </w:p>
        </w:tc>
      </w:tr>
      <w:tr w:rsidR="006519EF" w:rsidRPr="006519EF" w:rsidTr="00946D7B">
        <w:trPr>
          <w:jc w:val="center"/>
        </w:trPr>
        <w:tc>
          <w:tcPr>
            <w:tcW w:w="4302" w:type="dxa"/>
            <w:vAlign w:val="center"/>
          </w:tcPr>
          <w:p w:rsidR="006519EF" w:rsidRPr="006519EF" w:rsidRDefault="006519EF" w:rsidP="006519EF">
            <w:pPr>
              <w:pStyle w:val="TableText"/>
              <w:rPr>
                <w:rFonts w:cs="Arial"/>
                <w:spacing w:val="0"/>
                <w:sz w:val="24"/>
                <w:szCs w:val="24"/>
              </w:rPr>
            </w:pPr>
            <w:r w:rsidRPr="006519EF">
              <w:rPr>
                <w:rFonts w:cs="Arial"/>
                <w:spacing w:val="0"/>
                <w:sz w:val="24"/>
                <w:szCs w:val="24"/>
              </w:rPr>
              <w:t>White Pigment (Titanium Dioxide)</w:t>
            </w:r>
          </w:p>
        </w:tc>
        <w:tc>
          <w:tcPr>
            <w:tcW w:w="1674" w:type="dxa"/>
            <w:vAlign w:val="center"/>
          </w:tcPr>
          <w:p w:rsidR="006519EF" w:rsidRPr="006519EF" w:rsidRDefault="006519EF" w:rsidP="00946D7B">
            <w:pPr>
              <w:pStyle w:val="TableText"/>
              <w:rPr>
                <w:rFonts w:cs="Arial"/>
                <w:spacing w:val="0"/>
                <w:sz w:val="24"/>
                <w:szCs w:val="24"/>
              </w:rPr>
            </w:pPr>
            <w:r w:rsidRPr="006519EF">
              <w:rPr>
                <w:rFonts w:cs="Arial"/>
                <w:spacing w:val="0"/>
                <w:sz w:val="24"/>
                <w:szCs w:val="24"/>
              </w:rPr>
              <w:t xml:space="preserve">18 </w:t>
            </w:r>
            <w:r w:rsidR="00946D7B">
              <w:rPr>
                <w:rFonts w:cs="Arial"/>
                <w:spacing w:val="0"/>
                <w:sz w:val="24"/>
                <w:szCs w:val="24"/>
              </w:rPr>
              <w:t>- 25</w:t>
            </w:r>
          </w:p>
        </w:tc>
        <w:tc>
          <w:tcPr>
            <w:tcW w:w="2070" w:type="dxa"/>
            <w:vAlign w:val="center"/>
          </w:tcPr>
          <w:p w:rsidR="006519EF" w:rsidRPr="006519EF" w:rsidRDefault="00946D7B" w:rsidP="00946D7B">
            <w:pPr>
              <w:pStyle w:val="TableText"/>
              <w:rPr>
                <w:rFonts w:cs="Arial"/>
                <w:spacing w:val="0"/>
                <w:sz w:val="24"/>
                <w:szCs w:val="24"/>
              </w:rPr>
            </w:pPr>
            <w:r>
              <w:rPr>
                <w:rFonts w:cs="Arial"/>
                <w:spacing w:val="0"/>
                <w:sz w:val="24"/>
                <w:szCs w:val="24"/>
              </w:rPr>
              <w:t>10 - 17</w:t>
            </w:r>
          </w:p>
        </w:tc>
      </w:tr>
      <w:tr w:rsidR="006519EF" w:rsidRPr="006519EF" w:rsidTr="00946D7B">
        <w:trPr>
          <w:jc w:val="center"/>
        </w:trPr>
        <w:tc>
          <w:tcPr>
            <w:tcW w:w="4302" w:type="dxa"/>
            <w:vAlign w:val="center"/>
          </w:tcPr>
          <w:p w:rsidR="006519EF" w:rsidRPr="006519EF" w:rsidRDefault="009735B0" w:rsidP="006519EF">
            <w:pPr>
              <w:pStyle w:val="TableText"/>
              <w:rPr>
                <w:rFonts w:cs="Arial"/>
                <w:spacing w:val="0"/>
                <w:sz w:val="24"/>
                <w:szCs w:val="24"/>
              </w:rPr>
            </w:pPr>
            <w:r>
              <w:rPr>
                <w:rFonts w:cs="Arial"/>
                <w:spacing w:val="0"/>
                <w:sz w:val="24"/>
                <w:szCs w:val="24"/>
              </w:rPr>
              <w:t xml:space="preserve">Organic </w:t>
            </w:r>
            <w:r w:rsidR="006519EF" w:rsidRPr="006519EF">
              <w:rPr>
                <w:rFonts w:cs="Arial"/>
                <w:spacing w:val="0"/>
                <w:sz w:val="24"/>
                <w:szCs w:val="24"/>
              </w:rPr>
              <w:t>Yellow Pigment</w:t>
            </w:r>
          </w:p>
        </w:tc>
        <w:tc>
          <w:tcPr>
            <w:tcW w:w="1674" w:type="dxa"/>
            <w:vAlign w:val="center"/>
          </w:tcPr>
          <w:p w:rsidR="006519EF" w:rsidRPr="006519EF" w:rsidRDefault="006519EF" w:rsidP="006519EF">
            <w:pPr>
              <w:pStyle w:val="TableText"/>
              <w:rPr>
                <w:rFonts w:cs="Arial"/>
                <w:spacing w:val="0"/>
                <w:sz w:val="24"/>
                <w:szCs w:val="24"/>
              </w:rPr>
            </w:pPr>
            <w:r w:rsidRPr="006519EF">
              <w:rPr>
                <w:rFonts w:cs="Arial"/>
                <w:spacing w:val="0"/>
                <w:sz w:val="24"/>
                <w:szCs w:val="24"/>
              </w:rPr>
              <w:t>---</w:t>
            </w:r>
          </w:p>
        </w:tc>
        <w:tc>
          <w:tcPr>
            <w:tcW w:w="2070" w:type="dxa"/>
            <w:vAlign w:val="center"/>
          </w:tcPr>
          <w:p w:rsidR="006519EF" w:rsidRPr="006519EF" w:rsidRDefault="00946D7B" w:rsidP="006519EF">
            <w:pPr>
              <w:pStyle w:val="TableText"/>
              <w:rPr>
                <w:rFonts w:cs="Arial"/>
                <w:spacing w:val="0"/>
                <w:sz w:val="24"/>
                <w:szCs w:val="24"/>
              </w:rPr>
            </w:pPr>
            <w:r>
              <w:rPr>
                <w:rFonts w:cs="Arial"/>
                <w:spacing w:val="0"/>
                <w:sz w:val="24"/>
                <w:szCs w:val="24"/>
              </w:rPr>
              <w:t>7 - 10</w:t>
            </w:r>
          </w:p>
        </w:tc>
      </w:tr>
      <w:tr w:rsidR="006519EF" w:rsidRPr="006519EF" w:rsidTr="00946D7B">
        <w:trPr>
          <w:jc w:val="center"/>
        </w:trPr>
        <w:tc>
          <w:tcPr>
            <w:tcW w:w="4302" w:type="dxa"/>
            <w:vAlign w:val="center"/>
          </w:tcPr>
          <w:p w:rsidR="006519EF" w:rsidRPr="006519EF" w:rsidRDefault="006519EF" w:rsidP="006519EF">
            <w:pPr>
              <w:pStyle w:val="TableText"/>
              <w:rPr>
                <w:rFonts w:cs="Arial"/>
                <w:spacing w:val="0"/>
                <w:sz w:val="24"/>
                <w:szCs w:val="24"/>
              </w:rPr>
            </w:pPr>
            <w:r w:rsidRPr="006519EF">
              <w:rPr>
                <w:rFonts w:cs="Arial"/>
                <w:spacing w:val="0"/>
                <w:sz w:val="24"/>
                <w:szCs w:val="24"/>
              </w:rPr>
              <w:t>Epoxy Resin</w:t>
            </w:r>
          </w:p>
        </w:tc>
        <w:tc>
          <w:tcPr>
            <w:tcW w:w="1674" w:type="dxa"/>
            <w:vAlign w:val="center"/>
          </w:tcPr>
          <w:p w:rsidR="006519EF" w:rsidRPr="006519EF" w:rsidRDefault="006519EF" w:rsidP="006519EF">
            <w:pPr>
              <w:pStyle w:val="TableText"/>
              <w:rPr>
                <w:rFonts w:cs="Arial"/>
                <w:spacing w:val="0"/>
                <w:sz w:val="24"/>
                <w:szCs w:val="24"/>
              </w:rPr>
            </w:pPr>
            <w:r w:rsidRPr="006519EF">
              <w:rPr>
                <w:rFonts w:cs="Arial"/>
                <w:spacing w:val="0"/>
                <w:sz w:val="24"/>
                <w:szCs w:val="24"/>
              </w:rPr>
              <w:t>75 - 82</w:t>
            </w:r>
          </w:p>
        </w:tc>
        <w:tc>
          <w:tcPr>
            <w:tcW w:w="2070" w:type="dxa"/>
            <w:vAlign w:val="center"/>
          </w:tcPr>
          <w:p w:rsidR="006519EF" w:rsidRPr="006519EF" w:rsidRDefault="00946D7B" w:rsidP="006519EF">
            <w:pPr>
              <w:pStyle w:val="TableText"/>
              <w:rPr>
                <w:rFonts w:cs="Arial"/>
                <w:spacing w:val="0"/>
                <w:sz w:val="24"/>
                <w:szCs w:val="24"/>
              </w:rPr>
            </w:pPr>
            <w:r>
              <w:rPr>
                <w:rFonts w:cs="Arial"/>
                <w:spacing w:val="0"/>
                <w:sz w:val="24"/>
                <w:szCs w:val="24"/>
              </w:rPr>
              <w:t>73 - 83</w:t>
            </w:r>
          </w:p>
        </w:tc>
      </w:tr>
    </w:tbl>
    <w:p w:rsidR="008B7373" w:rsidRPr="00946D7B" w:rsidRDefault="008B7373" w:rsidP="00946D7B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  <w:rPr>
          <w:rFonts w:cs="Arial"/>
          <w:sz w:val="32"/>
          <w:szCs w:val="24"/>
        </w:rPr>
      </w:pPr>
    </w:p>
    <w:p w:rsidR="00946D7B" w:rsidRPr="00946D7B" w:rsidRDefault="00946D7B" w:rsidP="00946D7B">
      <w:pPr>
        <w:rPr>
          <w:rFonts w:cs="Arial"/>
          <w:color w:val="202124"/>
          <w:shd w:val="clear" w:color="auto" w:fill="FFFFFF"/>
        </w:rPr>
      </w:pPr>
      <w:r w:rsidRPr="00946D7B">
        <w:rPr>
          <w:rFonts w:cs="Arial"/>
          <w:color w:val="202124"/>
          <w:shd w:val="clear" w:color="auto" w:fill="FFFFFF"/>
        </w:rPr>
        <w:t xml:space="preserve">The white pigmented pavement marking material shall be tested in accordance with ASTM D3723 and shall conform to the requirements </w:t>
      </w:r>
      <w:r w:rsidR="009735B0">
        <w:rPr>
          <w:rFonts w:cs="Arial"/>
          <w:color w:val="202124"/>
          <w:shd w:val="clear" w:color="auto" w:fill="FFFFFF"/>
        </w:rPr>
        <w:t xml:space="preserve">specified in </w:t>
      </w:r>
      <w:r w:rsidRPr="00946D7B">
        <w:rPr>
          <w:rFonts w:cs="Arial"/>
          <w:color w:val="202124"/>
          <w:shd w:val="clear" w:color="auto" w:fill="FFFFFF"/>
        </w:rPr>
        <w:t>ASTM D476</w:t>
      </w:r>
      <w:r w:rsidR="009735B0">
        <w:rPr>
          <w:rFonts w:cs="Arial"/>
          <w:color w:val="202124"/>
          <w:shd w:val="clear" w:color="auto" w:fill="FFFFFF"/>
        </w:rPr>
        <w:t xml:space="preserve"> (Type II)</w:t>
      </w:r>
      <w:r w:rsidRPr="00946D7B">
        <w:rPr>
          <w:rFonts w:cs="Arial"/>
          <w:color w:val="202124"/>
          <w:shd w:val="clear" w:color="auto" w:fill="FFFFFF"/>
        </w:rPr>
        <w:t>.</w:t>
      </w:r>
    </w:p>
    <w:p w:rsidR="004D48BF" w:rsidRPr="006519EF" w:rsidRDefault="004D48BF" w:rsidP="006519E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86" w:hanging="1886"/>
        <w:jc w:val="both"/>
        <w:rPr>
          <w:rFonts w:cs="Arial"/>
          <w:szCs w:val="24"/>
        </w:rPr>
      </w:pPr>
    </w:p>
    <w:p w:rsidR="004D48BF" w:rsidRPr="006519EF" w:rsidRDefault="004D48BF" w:rsidP="006519E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86" w:hanging="1886"/>
        <w:jc w:val="both"/>
        <w:rPr>
          <w:rFonts w:cs="Arial"/>
          <w:szCs w:val="24"/>
        </w:rPr>
      </w:pPr>
      <w:r w:rsidRPr="006519EF">
        <w:rPr>
          <w:rFonts w:cs="Arial"/>
          <w:b/>
          <w:szCs w:val="24"/>
        </w:rPr>
        <w:t>709-2.02(K)</w:t>
      </w:r>
      <w:r w:rsidRPr="006519EF">
        <w:rPr>
          <w:rFonts w:cs="Arial"/>
          <w:b/>
          <w:szCs w:val="24"/>
        </w:rPr>
        <w:tab/>
        <w:t>Color:</w:t>
      </w:r>
      <w:r w:rsidRPr="006519EF">
        <w:rPr>
          <w:rFonts w:cs="Arial"/>
          <w:szCs w:val="24"/>
        </w:rPr>
        <w:t xml:space="preserve"> </w:t>
      </w:r>
      <w:r w:rsidR="00946D7B" w:rsidRPr="006519EF">
        <w:rPr>
          <w:rFonts w:cs="Arial"/>
          <w:szCs w:val="24"/>
        </w:rPr>
        <w:t>of the Standard Specifications is revised to read:</w:t>
      </w:r>
    </w:p>
    <w:p w:rsidR="004D48BF" w:rsidRPr="006519EF" w:rsidRDefault="004D48BF" w:rsidP="006519E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86" w:hanging="1886"/>
        <w:jc w:val="both"/>
        <w:rPr>
          <w:rFonts w:cs="Arial"/>
          <w:szCs w:val="24"/>
        </w:rPr>
      </w:pPr>
    </w:p>
    <w:p w:rsidR="006519EF" w:rsidRDefault="006519EF" w:rsidP="006519EF">
      <w:pPr>
        <w:jc w:val="both"/>
        <w:rPr>
          <w:rFonts w:cs="Arial"/>
          <w:szCs w:val="24"/>
        </w:rPr>
      </w:pPr>
      <w:r w:rsidRPr="006519EF">
        <w:rPr>
          <w:rFonts w:cs="Arial"/>
          <w:szCs w:val="24"/>
        </w:rPr>
        <w:t xml:space="preserve">The colors of the applied markings shall </w:t>
      </w:r>
      <w:r w:rsidR="00567E18">
        <w:rPr>
          <w:rFonts w:cs="Arial"/>
          <w:szCs w:val="24"/>
        </w:rPr>
        <w:t xml:space="preserve">comply with the requirements specified in ASTM D6628 and shall </w:t>
      </w:r>
      <w:r w:rsidRPr="006519EF">
        <w:rPr>
          <w:rFonts w:cs="Arial"/>
          <w:szCs w:val="24"/>
        </w:rPr>
        <w:t>conform to the following:</w:t>
      </w:r>
    </w:p>
    <w:p w:rsidR="00567E18" w:rsidRPr="006519EF" w:rsidRDefault="00567E18" w:rsidP="006519EF">
      <w:pPr>
        <w:jc w:val="both"/>
        <w:rPr>
          <w:rFonts w:cs="Arial"/>
          <w:szCs w:val="24"/>
        </w:rPr>
      </w:pPr>
    </w:p>
    <w:p w:rsidR="006519EF" w:rsidRDefault="006519EF" w:rsidP="00567E18">
      <w:pPr>
        <w:pStyle w:val="1Sub"/>
        <w:tabs>
          <w:tab w:val="clear" w:pos="1440"/>
          <w:tab w:val="left" w:pos="1260"/>
        </w:tabs>
        <w:spacing w:after="0"/>
        <w:ind w:left="1260" w:hanging="540"/>
        <w:rPr>
          <w:rFonts w:cs="Arial"/>
          <w:spacing w:val="0"/>
          <w:sz w:val="24"/>
          <w:szCs w:val="24"/>
        </w:rPr>
      </w:pPr>
      <w:r w:rsidRPr="006519EF">
        <w:rPr>
          <w:rFonts w:cs="Arial"/>
          <w:spacing w:val="0"/>
          <w:sz w:val="24"/>
          <w:szCs w:val="24"/>
        </w:rPr>
        <w:t>The white color shall match Federal Test Standard Number 595B, color chip no. 37875; and</w:t>
      </w:r>
    </w:p>
    <w:p w:rsidR="00567E18" w:rsidRPr="006519EF" w:rsidRDefault="00567E18" w:rsidP="00567E18">
      <w:pPr>
        <w:pStyle w:val="1Sub"/>
        <w:numPr>
          <w:ilvl w:val="0"/>
          <w:numId w:val="0"/>
        </w:numPr>
        <w:tabs>
          <w:tab w:val="clear" w:pos="1440"/>
          <w:tab w:val="left" w:pos="1260"/>
        </w:tabs>
        <w:spacing w:after="0"/>
        <w:ind w:left="1260" w:hanging="540"/>
        <w:rPr>
          <w:rFonts w:cs="Arial"/>
          <w:spacing w:val="0"/>
          <w:sz w:val="24"/>
          <w:szCs w:val="24"/>
        </w:rPr>
      </w:pPr>
    </w:p>
    <w:p w:rsidR="006519EF" w:rsidRDefault="006519EF" w:rsidP="00567E18">
      <w:pPr>
        <w:pStyle w:val="1Sub"/>
        <w:tabs>
          <w:tab w:val="clear" w:pos="1440"/>
          <w:tab w:val="left" w:pos="1260"/>
        </w:tabs>
        <w:spacing w:after="0"/>
        <w:ind w:left="1260" w:hanging="540"/>
        <w:rPr>
          <w:rFonts w:cs="Arial"/>
          <w:spacing w:val="0"/>
          <w:sz w:val="24"/>
          <w:szCs w:val="24"/>
        </w:rPr>
      </w:pPr>
      <w:r w:rsidRPr="006519EF">
        <w:rPr>
          <w:rFonts w:cs="Arial"/>
          <w:spacing w:val="0"/>
          <w:sz w:val="24"/>
          <w:szCs w:val="24"/>
        </w:rPr>
        <w:t>The yellow color shall match Federal Test Standard Number 595B, color chip no. 33583.</w:t>
      </w:r>
    </w:p>
    <w:p w:rsidR="006201C8" w:rsidRPr="006519EF" w:rsidRDefault="006201C8" w:rsidP="006519EF">
      <w:pPr>
        <w:pStyle w:val="1Sub"/>
        <w:numPr>
          <w:ilvl w:val="0"/>
          <w:numId w:val="0"/>
        </w:numPr>
        <w:spacing w:after="0"/>
        <w:rPr>
          <w:rFonts w:cs="Arial"/>
          <w:spacing w:val="0"/>
          <w:sz w:val="24"/>
          <w:szCs w:val="24"/>
        </w:rPr>
      </w:pPr>
    </w:p>
    <w:p w:rsidR="004D48BF" w:rsidRDefault="004D48BF" w:rsidP="006519E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86" w:hanging="1886"/>
        <w:jc w:val="both"/>
        <w:rPr>
          <w:rFonts w:cs="Arial"/>
          <w:szCs w:val="24"/>
        </w:rPr>
      </w:pPr>
      <w:r w:rsidRPr="006519EF">
        <w:rPr>
          <w:rFonts w:cs="Arial"/>
          <w:b/>
          <w:szCs w:val="24"/>
        </w:rPr>
        <w:t>709-</w:t>
      </w:r>
      <w:r w:rsidR="00C347FE" w:rsidRPr="006519EF">
        <w:rPr>
          <w:rFonts w:cs="Arial"/>
          <w:b/>
          <w:szCs w:val="24"/>
        </w:rPr>
        <w:t>2.02(L</w:t>
      </w:r>
      <w:r w:rsidRPr="006519EF">
        <w:rPr>
          <w:rFonts w:cs="Arial"/>
          <w:b/>
          <w:szCs w:val="24"/>
        </w:rPr>
        <w:t>)</w:t>
      </w:r>
      <w:r w:rsidR="00C347FE" w:rsidRPr="006519EF">
        <w:rPr>
          <w:rFonts w:cs="Arial"/>
          <w:b/>
          <w:szCs w:val="24"/>
        </w:rPr>
        <w:tab/>
      </w:r>
      <w:r w:rsidRPr="006519EF">
        <w:rPr>
          <w:rFonts w:cs="Arial"/>
          <w:b/>
          <w:szCs w:val="24"/>
        </w:rPr>
        <w:tab/>
        <w:t>Yellowness Index:</w:t>
      </w:r>
      <w:r w:rsidRPr="006519EF">
        <w:rPr>
          <w:rFonts w:cs="Arial"/>
          <w:szCs w:val="24"/>
        </w:rPr>
        <w:t xml:space="preserve">  </w:t>
      </w:r>
      <w:r w:rsidR="00946D7B" w:rsidRPr="006519EF">
        <w:rPr>
          <w:rFonts w:cs="Arial"/>
          <w:szCs w:val="24"/>
        </w:rPr>
        <w:t>of the Standard Specifications is revised to read:</w:t>
      </w:r>
    </w:p>
    <w:p w:rsidR="002E6454" w:rsidRDefault="002E6454" w:rsidP="006519EF">
      <w:pPr>
        <w:jc w:val="both"/>
        <w:rPr>
          <w:rFonts w:cs="Arial"/>
          <w:szCs w:val="24"/>
        </w:rPr>
      </w:pPr>
    </w:p>
    <w:p w:rsidR="00D548B4" w:rsidRDefault="00D548B4" w:rsidP="006519EF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The </w:t>
      </w:r>
      <w:r w:rsidR="00037DD8">
        <w:rPr>
          <w:rFonts w:cs="Arial"/>
          <w:szCs w:val="24"/>
        </w:rPr>
        <w:t xml:space="preserve">initial yellowness </w:t>
      </w:r>
      <w:r>
        <w:rPr>
          <w:rFonts w:cs="Arial"/>
          <w:szCs w:val="24"/>
        </w:rPr>
        <w:t xml:space="preserve">index </w:t>
      </w:r>
      <w:r w:rsidR="00037DD8">
        <w:rPr>
          <w:rFonts w:cs="Arial"/>
          <w:szCs w:val="24"/>
        </w:rPr>
        <w:t xml:space="preserve">value </w:t>
      </w:r>
      <w:r w:rsidR="002E6454">
        <w:rPr>
          <w:rFonts w:cs="Arial"/>
          <w:szCs w:val="24"/>
        </w:rPr>
        <w:t xml:space="preserve">of the white material </w:t>
      </w:r>
      <w:r>
        <w:rPr>
          <w:rFonts w:cs="Arial"/>
          <w:szCs w:val="24"/>
        </w:rPr>
        <w:t xml:space="preserve">shall be </w:t>
      </w:r>
      <w:r w:rsidR="002E6454">
        <w:rPr>
          <w:rFonts w:cs="Arial"/>
          <w:szCs w:val="24"/>
        </w:rPr>
        <w:t xml:space="preserve">tested in accordance with </w:t>
      </w:r>
      <w:proofErr w:type="gramStart"/>
      <w:r w:rsidR="002E6454">
        <w:rPr>
          <w:rFonts w:cs="Arial"/>
          <w:szCs w:val="24"/>
        </w:rPr>
        <w:t>ASTM E313.</w:t>
      </w:r>
      <w:proofErr w:type="gramEnd"/>
      <w:r w:rsidR="002E6454">
        <w:rPr>
          <w:rFonts w:cs="Arial"/>
          <w:szCs w:val="24"/>
        </w:rPr>
        <w:t xml:space="preserve"> The </w:t>
      </w:r>
      <w:r>
        <w:rPr>
          <w:rFonts w:cs="Arial"/>
          <w:szCs w:val="24"/>
        </w:rPr>
        <w:t xml:space="preserve">sample </w:t>
      </w:r>
      <w:r w:rsidR="002E6454">
        <w:rPr>
          <w:rFonts w:cs="Arial"/>
          <w:szCs w:val="24"/>
        </w:rPr>
        <w:t xml:space="preserve">shall be </w:t>
      </w:r>
      <w:r>
        <w:rPr>
          <w:rFonts w:cs="Arial"/>
          <w:szCs w:val="24"/>
        </w:rPr>
        <w:t xml:space="preserve">cured </w:t>
      </w:r>
      <w:bookmarkStart w:id="0" w:name="_GoBack"/>
      <w:bookmarkEnd w:id="0"/>
      <w:r>
        <w:rPr>
          <w:rFonts w:cs="Arial"/>
          <w:szCs w:val="24"/>
        </w:rPr>
        <w:t>for 72 hou</w:t>
      </w:r>
      <w:r w:rsidR="0090542B">
        <w:rPr>
          <w:rFonts w:cs="Arial"/>
          <w:szCs w:val="24"/>
        </w:rPr>
        <w:t>r</w:t>
      </w:r>
      <w:r>
        <w:rPr>
          <w:rFonts w:cs="Arial"/>
          <w:szCs w:val="24"/>
        </w:rPr>
        <w:t>s at room temperature (</w:t>
      </w:r>
      <w:r w:rsidRPr="006519EF">
        <w:rPr>
          <w:rFonts w:cs="Arial"/>
          <w:szCs w:val="24"/>
        </w:rPr>
        <w:t xml:space="preserve">75 </w:t>
      </w:r>
      <w:r w:rsidRPr="006519EF">
        <w:rPr>
          <w:rFonts w:cs="Arial"/>
          <w:szCs w:val="24"/>
        </w:rPr>
        <w:sym w:font="Symbol" w:char="F0B1"/>
      </w:r>
      <w:r w:rsidRPr="006519EF">
        <w:rPr>
          <w:rFonts w:cs="Arial"/>
          <w:szCs w:val="24"/>
        </w:rPr>
        <w:t xml:space="preserve"> 2 degrees F</w:t>
      </w:r>
      <w:r>
        <w:rPr>
          <w:rFonts w:cs="Arial"/>
          <w:szCs w:val="24"/>
        </w:rPr>
        <w:t>)</w:t>
      </w:r>
      <w:r w:rsidR="002E6454">
        <w:rPr>
          <w:rFonts w:cs="Arial"/>
          <w:szCs w:val="24"/>
        </w:rPr>
        <w:t xml:space="preserve"> prior to testing. The initial yellowness index shall not exceed a value</w:t>
      </w:r>
      <w:r w:rsidR="00037DD8">
        <w:rPr>
          <w:rFonts w:cs="Arial"/>
          <w:szCs w:val="24"/>
        </w:rPr>
        <w:t xml:space="preserve"> of 8.</w:t>
      </w:r>
    </w:p>
    <w:p w:rsidR="00567E18" w:rsidRDefault="00567E18" w:rsidP="006519EF">
      <w:pPr>
        <w:jc w:val="both"/>
        <w:rPr>
          <w:rFonts w:cs="Arial"/>
          <w:szCs w:val="24"/>
        </w:rPr>
      </w:pPr>
    </w:p>
    <w:p w:rsidR="00567E18" w:rsidRDefault="002E6454" w:rsidP="00037DD8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The yellowness index value of the white material shall be tested in accordance with ASTM E313 and ASTM G154. The</w:t>
      </w:r>
      <w:r w:rsidR="00037DD8">
        <w:rPr>
          <w:rFonts w:cs="Arial"/>
          <w:szCs w:val="24"/>
        </w:rPr>
        <w:t xml:space="preserve"> sample</w:t>
      </w:r>
      <w:r>
        <w:rPr>
          <w:rFonts w:cs="Arial"/>
          <w:szCs w:val="24"/>
        </w:rPr>
        <w:t xml:space="preserve"> shall be cured for 72 hours at room temperature (</w:t>
      </w:r>
      <w:r w:rsidRPr="006519EF">
        <w:rPr>
          <w:rFonts w:cs="Arial"/>
          <w:szCs w:val="24"/>
        </w:rPr>
        <w:t xml:space="preserve">75 </w:t>
      </w:r>
      <w:r w:rsidRPr="006519EF">
        <w:rPr>
          <w:rFonts w:cs="Arial"/>
          <w:szCs w:val="24"/>
        </w:rPr>
        <w:sym w:font="Symbol" w:char="F0B1"/>
      </w:r>
      <w:r w:rsidRPr="006519EF">
        <w:rPr>
          <w:rFonts w:cs="Arial"/>
          <w:szCs w:val="24"/>
        </w:rPr>
        <w:t xml:space="preserve"> 2 degrees F</w:t>
      </w:r>
      <w:r>
        <w:rPr>
          <w:rFonts w:cs="Arial"/>
          <w:szCs w:val="24"/>
        </w:rPr>
        <w:t>) and then exposed</w:t>
      </w:r>
      <w:r w:rsidR="00037DD8">
        <w:rPr>
          <w:rFonts w:cs="Arial"/>
          <w:szCs w:val="24"/>
        </w:rPr>
        <w:t xml:space="preserve"> i</w:t>
      </w:r>
      <w:r w:rsidR="00D548B4">
        <w:rPr>
          <w:rFonts w:cs="Arial"/>
          <w:szCs w:val="24"/>
        </w:rPr>
        <w:t>n</w:t>
      </w:r>
      <w:r w:rsidR="00567E18">
        <w:rPr>
          <w:rFonts w:cs="Arial"/>
          <w:szCs w:val="24"/>
        </w:rPr>
        <w:t xml:space="preserve"> the QUV cha</w:t>
      </w:r>
      <w:r w:rsidR="00D548B4">
        <w:rPr>
          <w:rFonts w:cs="Arial"/>
          <w:szCs w:val="24"/>
        </w:rPr>
        <w:t>m</w:t>
      </w:r>
      <w:r w:rsidR="00567E18">
        <w:rPr>
          <w:rFonts w:cs="Arial"/>
          <w:szCs w:val="24"/>
        </w:rPr>
        <w:t>ber for 72 hours and 500 hours respectively</w:t>
      </w:r>
      <w:r w:rsidR="006201C8">
        <w:rPr>
          <w:rFonts w:cs="Arial"/>
          <w:szCs w:val="24"/>
        </w:rPr>
        <w:t>. T</w:t>
      </w:r>
      <w:r w:rsidR="00D548B4">
        <w:rPr>
          <w:rFonts w:cs="Arial"/>
          <w:szCs w:val="24"/>
        </w:rPr>
        <w:t>he yellowness index values shall not exceed the values shown in the table below</w:t>
      </w:r>
      <w:r w:rsidR="00567E18" w:rsidRPr="006519EF">
        <w:rPr>
          <w:rFonts w:cs="Arial"/>
          <w:szCs w:val="24"/>
        </w:rPr>
        <w:t xml:space="preserve">. </w:t>
      </w:r>
    </w:p>
    <w:p w:rsidR="00D548B4" w:rsidRDefault="00D548B4" w:rsidP="00D548B4">
      <w:pPr>
        <w:tabs>
          <w:tab w:val="left" w:pos="0"/>
          <w:tab w:val="left" w:pos="1267"/>
          <w:tab w:val="left" w:pos="2434"/>
          <w:tab w:val="left" w:pos="2880"/>
        </w:tabs>
        <w:jc w:val="both"/>
        <w:rPr>
          <w:rFonts w:cs="Arial"/>
          <w:szCs w:val="24"/>
        </w:rPr>
      </w:pP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3456"/>
      </w:tblGrid>
      <w:tr w:rsidR="00D548B4" w:rsidRPr="006519EF" w:rsidTr="00D548B4">
        <w:trPr>
          <w:jc w:val="center"/>
        </w:trPr>
        <w:tc>
          <w:tcPr>
            <w:tcW w:w="2880" w:type="dxa"/>
            <w:vAlign w:val="center"/>
          </w:tcPr>
          <w:p w:rsidR="00D548B4" w:rsidRPr="006519EF" w:rsidRDefault="00D548B4" w:rsidP="00D548B4">
            <w:pPr>
              <w:pStyle w:val="TableHeading"/>
              <w:rPr>
                <w:rFonts w:cs="Arial"/>
                <w:spacing w:val="0"/>
                <w:sz w:val="24"/>
                <w:szCs w:val="24"/>
              </w:rPr>
            </w:pPr>
            <w:r>
              <w:rPr>
                <w:rFonts w:cs="Arial"/>
                <w:spacing w:val="0"/>
                <w:sz w:val="24"/>
                <w:szCs w:val="24"/>
              </w:rPr>
              <w:t>Exposure Time (hours)</w:t>
            </w:r>
          </w:p>
        </w:tc>
        <w:tc>
          <w:tcPr>
            <w:tcW w:w="3456" w:type="dxa"/>
            <w:vAlign w:val="center"/>
          </w:tcPr>
          <w:p w:rsidR="00D548B4" w:rsidRPr="006519EF" w:rsidRDefault="00D548B4" w:rsidP="00D548B4">
            <w:pPr>
              <w:pStyle w:val="TableHeading"/>
              <w:rPr>
                <w:rFonts w:cs="Arial"/>
                <w:spacing w:val="0"/>
                <w:sz w:val="24"/>
                <w:szCs w:val="24"/>
              </w:rPr>
            </w:pPr>
            <w:r>
              <w:rPr>
                <w:rFonts w:cs="Arial"/>
                <w:spacing w:val="0"/>
                <w:sz w:val="24"/>
                <w:szCs w:val="24"/>
              </w:rPr>
              <w:t>Yellowness Index</w:t>
            </w:r>
          </w:p>
        </w:tc>
      </w:tr>
      <w:tr w:rsidR="00D548B4" w:rsidRPr="006519EF" w:rsidTr="00D548B4">
        <w:trPr>
          <w:jc w:val="center"/>
        </w:trPr>
        <w:tc>
          <w:tcPr>
            <w:tcW w:w="2880" w:type="dxa"/>
            <w:vAlign w:val="center"/>
          </w:tcPr>
          <w:p w:rsidR="00D548B4" w:rsidRPr="006519EF" w:rsidRDefault="00D548B4" w:rsidP="00D548B4">
            <w:pPr>
              <w:pStyle w:val="TableText"/>
              <w:rPr>
                <w:rFonts w:cs="Arial"/>
                <w:spacing w:val="0"/>
                <w:sz w:val="24"/>
                <w:szCs w:val="24"/>
              </w:rPr>
            </w:pPr>
            <w:r>
              <w:rPr>
                <w:rFonts w:cs="Arial"/>
                <w:spacing w:val="0"/>
                <w:sz w:val="24"/>
                <w:szCs w:val="24"/>
              </w:rPr>
              <w:t>72</w:t>
            </w:r>
          </w:p>
        </w:tc>
        <w:tc>
          <w:tcPr>
            <w:tcW w:w="3456" w:type="dxa"/>
            <w:vAlign w:val="center"/>
          </w:tcPr>
          <w:p w:rsidR="00D548B4" w:rsidRPr="006519EF" w:rsidRDefault="00D548B4" w:rsidP="00D548B4">
            <w:pPr>
              <w:pStyle w:val="TableText"/>
              <w:rPr>
                <w:rFonts w:cs="Arial"/>
                <w:spacing w:val="0"/>
                <w:sz w:val="24"/>
                <w:szCs w:val="24"/>
              </w:rPr>
            </w:pPr>
            <w:r>
              <w:rPr>
                <w:rFonts w:cs="Arial"/>
                <w:spacing w:val="0"/>
                <w:sz w:val="24"/>
                <w:szCs w:val="24"/>
              </w:rPr>
              <w:t>15</w:t>
            </w:r>
          </w:p>
        </w:tc>
      </w:tr>
      <w:tr w:rsidR="00D548B4" w:rsidRPr="006519EF" w:rsidTr="00D548B4">
        <w:trPr>
          <w:jc w:val="center"/>
        </w:trPr>
        <w:tc>
          <w:tcPr>
            <w:tcW w:w="2880" w:type="dxa"/>
            <w:vAlign w:val="center"/>
          </w:tcPr>
          <w:p w:rsidR="00D548B4" w:rsidRPr="006519EF" w:rsidRDefault="00D548B4" w:rsidP="00D548B4">
            <w:pPr>
              <w:pStyle w:val="TableText"/>
              <w:rPr>
                <w:rFonts w:cs="Arial"/>
                <w:spacing w:val="0"/>
                <w:sz w:val="24"/>
                <w:szCs w:val="24"/>
              </w:rPr>
            </w:pPr>
            <w:r>
              <w:rPr>
                <w:rFonts w:cs="Arial"/>
                <w:spacing w:val="0"/>
                <w:sz w:val="24"/>
                <w:szCs w:val="24"/>
              </w:rPr>
              <w:t>500</w:t>
            </w:r>
          </w:p>
        </w:tc>
        <w:tc>
          <w:tcPr>
            <w:tcW w:w="3456" w:type="dxa"/>
            <w:vAlign w:val="center"/>
          </w:tcPr>
          <w:p w:rsidR="00D548B4" w:rsidRPr="006519EF" w:rsidRDefault="00D548B4" w:rsidP="00D548B4">
            <w:pPr>
              <w:pStyle w:val="TableText"/>
              <w:rPr>
                <w:rFonts w:cs="Arial"/>
                <w:spacing w:val="0"/>
                <w:sz w:val="24"/>
                <w:szCs w:val="24"/>
              </w:rPr>
            </w:pPr>
            <w:r>
              <w:rPr>
                <w:rFonts w:cs="Arial"/>
                <w:spacing w:val="0"/>
                <w:sz w:val="24"/>
                <w:szCs w:val="24"/>
              </w:rPr>
              <w:t>27</w:t>
            </w:r>
          </w:p>
        </w:tc>
      </w:tr>
    </w:tbl>
    <w:p w:rsidR="00D548B4" w:rsidRPr="006519EF" w:rsidRDefault="00D548B4" w:rsidP="00D548B4">
      <w:pPr>
        <w:tabs>
          <w:tab w:val="left" w:pos="0"/>
          <w:tab w:val="left" w:pos="1267"/>
          <w:tab w:val="left" w:pos="2434"/>
          <w:tab w:val="left" w:pos="2880"/>
        </w:tabs>
        <w:jc w:val="both"/>
        <w:rPr>
          <w:rFonts w:cs="Arial"/>
          <w:szCs w:val="24"/>
        </w:rPr>
      </w:pPr>
    </w:p>
    <w:sectPr w:rsidR="00D548B4" w:rsidRPr="006519EF" w:rsidSect="004022E0">
      <w:footerReference w:type="default" r:id="rId9"/>
      <w:pgSz w:w="12240" w:h="15840" w:code="1"/>
      <w:pgMar w:top="1440" w:right="1296" w:bottom="864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454" w:rsidRDefault="002E6454">
      <w:r>
        <w:separator/>
      </w:r>
    </w:p>
  </w:endnote>
  <w:endnote w:type="continuationSeparator" w:id="0">
    <w:p w:rsidR="002E6454" w:rsidRDefault="002E6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454" w:rsidRDefault="002E6454">
    <w:pPr>
      <w:pStyle w:val="Footer"/>
    </w:pPr>
  </w:p>
  <w:p w:rsidR="002E6454" w:rsidRPr="000A6372" w:rsidRDefault="002E6454">
    <w:pPr>
      <w:pStyle w:val="Footer"/>
      <w:jc w:val="right"/>
      <w:rPr>
        <w:sz w:val="18"/>
        <w:szCs w:val="18"/>
      </w:rPr>
    </w:pPr>
    <w:r w:rsidRPr="000A6372">
      <w:rPr>
        <w:sz w:val="18"/>
        <w:szCs w:val="18"/>
      </w:rPr>
      <w:t>70</w:t>
    </w:r>
    <w:r>
      <w:rPr>
        <w:sz w:val="18"/>
        <w:szCs w:val="18"/>
      </w:rPr>
      <w:t>9</w:t>
    </w:r>
    <w:r w:rsidR="00583EF0">
      <w:rPr>
        <w:sz w:val="18"/>
        <w:szCs w:val="18"/>
      </w:rPr>
      <w:t xml:space="preserve"> </w:t>
    </w:r>
    <w:r>
      <w:rPr>
        <w:sz w:val="18"/>
        <w:szCs w:val="18"/>
      </w:rPr>
      <w:t>PGMNT</w:t>
    </w:r>
    <w:r w:rsidRPr="000A6372">
      <w:rPr>
        <w:sz w:val="18"/>
        <w:szCs w:val="18"/>
      </w:rPr>
      <w:t xml:space="preserve"> - </w:t>
    </w:r>
    <w:r w:rsidRPr="000A6372">
      <w:rPr>
        <w:sz w:val="18"/>
        <w:szCs w:val="18"/>
      </w:rPr>
      <w:fldChar w:fldCharType="begin"/>
    </w:r>
    <w:r w:rsidRPr="000A6372">
      <w:rPr>
        <w:sz w:val="18"/>
        <w:szCs w:val="18"/>
      </w:rPr>
      <w:instrText>PAGE</w:instrText>
    </w:r>
    <w:r w:rsidRPr="000A6372">
      <w:rPr>
        <w:sz w:val="18"/>
        <w:szCs w:val="18"/>
      </w:rPr>
      <w:fldChar w:fldCharType="separate"/>
    </w:r>
    <w:r w:rsidR="00583EF0">
      <w:rPr>
        <w:noProof/>
        <w:sz w:val="18"/>
        <w:szCs w:val="18"/>
      </w:rPr>
      <w:t>1</w:t>
    </w:r>
    <w:r w:rsidRPr="000A6372">
      <w:rPr>
        <w:sz w:val="18"/>
        <w:szCs w:val="18"/>
      </w:rPr>
      <w:fldChar w:fldCharType="end"/>
    </w:r>
    <w:r w:rsidRPr="000A6372">
      <w:rPr>
        <w:sz w:val="18"/>
        <w:szCs w:val="18"/>
      </w:rPr>
      <w:t>/</w:t>
    </w:r>
    <w:r w:rsidRPr="000A6372">
      <w:rPr>
        <w:sz w:val="18"/>
        <w:szCs w:val="18"/>
      </w:rPr>
      <w:fldChar w:fldCharType="begin"/>
    </w:r>
    <w:r w:rsidRPr="000A6372">
      <w:rPr>
        <w:sz w:val="18"/>
        <w:szCs w:val="18"/>
      </w:rPr>
      <w:instrText xml:space="preserve"> NUMPAGES  \* MERGEFORMAT </w:instrText>
    </w:r>
    <w:r w:rsidRPr="000A6372">
      <w:rPr>
        <w:sz w:val="18"/>
        <w:szCs w:val="18"/>
      </w:rPr>
      <w:fldChar w:fldCharType="separate"/>
    </w:r>
    <w:r w:rsidR="00583EF0">
      <w:rPr>
        <w:noProof/>
        <w:sz w:val="18"/>
        <w:szCs w:val="18"/>
      </w:rPr>
      <w:t>1</w:t>
    </w:r>
    <w:r w:rsidRPr="000A637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454" w:rsidRDefault="002E6454">
      <w:r>
        <w:separator/>
      </w:r>
    </w:p>
  </w:footnote>
  <w:footnote w:type="continuationSeparator" w:id="0">
    <w:p w:rsidR="002E6454" w:rsidRDefault="002E64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0757E"/>
    <w:multiLevelType w:val="hybridMultilevel"/>
    <w:tmpl w:val="257C7F30"/>
    <w:lvl w:ilvl="0" w:tplc="BD68EFEE">
      <w:start w:val="1"/>
      <w:numFmt w:val="decimal"/>
      <w:lvlText w:val="(%1)"/>
      <w:lvlJc w:val="left"/>
      <w:pPr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41354B"/>
    <w:multiLevelType w:val="hybridMultilevel"/>
    <w:tmpl w:val="622A4D98"/>
    <w:lvl w:ilvl="0" w:tplc="9048B464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A452C33"/>
    <w:multiLevelType w:val="hybridMultilevel"/>
    <w:tmpl w:val="C49C4242"/>
    <w:lvl w:ilvl="0" w:tplc="9048B464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617DE3"/>
    <w:multiLevelType w:val="hybridMultilevel"/>
    <w:tmpl w:val="46267C76"/>
    <w:lvl w:ilvl="0" w:tplc="2C8693BE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4E2E51"/>
    <w:multiLevelType w:val="hybridMultilevel"/>
    <w:tmpl w:val="8844FCE0"/>
    <w:lvl w:ilvl="0" w:tplc="EB9E9688">
      <w:start w:val="1"/>
      <w:numFmt w:val="upperLetter"/>
      <w:lvlText w:val="(%1)"/>
      <w:lvlJc w:val="left"/>
      <w:pPr>
        <w:ind w:left="2354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894" w:hanging="360"/>
      </w:pPr>
    </w:lvl>
    <w:lvl w:ilvl="2" w:tplc="0409001B" w:tentative="1">
      <w:start w:val="1"/>
      <w:numFmt w:val="lowerRoman"/>
      <w:lvlText w:val="%3."/>
      <w:lvlJc w:val="right"/>
      <w:pPr>
        <w:ind w:left="3614" w:hanging="180"/>
      </w:pPr>
    </w:lvl>
    <w:lvl w:ilvl="3" w:tplc="0409000F" w:tentative="1">
      <w:start w:val="1"/>
      <w:numFmt w:val="decimal"/>
      <w:lvlText w:val="%4."/>
      <w:lvlJc w:val="left"/>
      <w:pPr>
        <w:ind w:left="4334" w:hanging="360"/>
      </w:pPr>
    </w:lvl>
    <w:lvl w:ilvl="4" w:tplc="04090019" w:tentative="1">
      <w:start w:val="1"/>
      <w:numFmt w:val="lowerLetter"/>
      <w:lvlText w:val="%5."/>
      <w:lvlJc w:val="left"/>
      <w:pPr>
        <w:ind w:left="5054" w:hanging="360"/>
      </w:pPr>
    </w:lvl>
    <w:lvl w:ilvl="5" w:tplc="0409001B" w:tentative="1">
      <w:start w:val="1"/>
      <w:numFmt w:val="lowerRoman"/>
      <w:lvlText w:val="%6."/>
      <w:lvlJc w:val="right"/>
      <w:pPr>
        <w:ind w:left="5774" w:hanging="180"/>
      </w:pPr>
    </w:lvl>
    <w:lvl w:ilvl="6" w:tplc="0409000F" w:tentative="1">
      <w:start w:val="1"/>
      <w:numFmt w:val="decimal"/>
      <w:lvlText w:val="%7."/>
      <w:lvlJc w:val="left"/>
      <w:pPr>
        <w:ind w:left="6494" w:hanging="360"/>
      </w:pPr>
    </w:lvl>
    <w:lvl w:ilvl="7" w:tplc="04090019" w:tentative="1">
      <w:start w:val="1"/>
      <w:numFmt w:val="lowerLetter"/>
      <w:lvlText w:val="%8."/>
      <w:lvlJc w:val="left"/>
      <w:pPr>
        <w:ind w:left="7214" w:hanging="360"/>
      </w:pPr>
    </w:lvl>
    <w:lvl w:ilvl="8" w:tplc="0409001B" w:tentative="1">
      <w:start w:val="1"/>
      <w:numFmt w:val="lowerRoman"/>
      <w:lvlText w:val="%9."/>
      <w:lvlJc w:val="right"/>
      <w:pPr>
        <w:ind w:left="7934" w:hanging="180"/>
      </w:pPr>
    </w:lvl>
  </w:abstractNum>
  <w:abstractNum w:abstractNumId="5">
    <w:nsid w:val="584C147B"/>
    <w:multiLevelType w:val="multilevel"/>
    <w:tmpl w:val="0DBE77BA"/>
    <w:lvl w:ilvl="0">
      <w:start w:val="1"/>
      <w:numFmt w:val="upperLetter"/>
      <w:pStyle w:val="ASub"/>
      <w:lvlText w:val="(%1)"/>
      <w:lvlJc w:val="left"/>
      <w:pPr>
        <w:ind w:left="1080" w:hanging="360"/>
      </w:pPr>
      <w:rPr>
        <w:rFonts w:hint="default"/>
        <w:i w:val="0"/>
        <w:iCs/>
      </w:rPr>
    </w:lvl>
    <w:lvl w:ilvl="1">
      <w:start w:val="1"/>
      <w:numFmt w:val="decimal"/>
      <w:pStyle w:val="1Sub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pStyle w:val="aSub0"/>
      <w:lvlText w:val="(%3)"/>
      <w:lvlJc w:val="left"/>
      <w:pPr>
        <w:ind w:left="1800" w:hanging="360"/>
      </w:pPr>
      <w:rPr>
        <w:rFonts w:hint="default"/>
        <w:i w:val="0"/>
        <w:iCs/>
      </w:rPr>
    </w:lvl>
    <w:lvl w:ilvl="3">
      <w:start w:val="1"/>
      <w:numFmt w:val="lowerRoman"/>
      <w:pStyle w:val="iSub"/>
      <w:lvlText w:val="(%4)"/>
      <w:lvlJc w:val="left"/>
      <w:pPr>
        <w:ind w:left="23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F76"/>
    <w:rsid w:val="000014E5"/>
    <w:rsid w:val="00002AC9"/>
    <w:rsid w:val="0000316D"/>
    <w:rsid w:val="00005333"/>
    <w:rsid w:val="00012EC5"/>
    <w:rsid w:val="0001379F"/>
    <w:rsid w:val="00013989"/>
    <w:rsid w:val="00021E10"/>
    <w:rsid w:val="000311FC"/>
    <w:rsid w:val="00032213"/>
    <w:rsid w:val="00032602"/>
    <w:rsid w:val="000340AE"/>
    <w:rsid w:val="00037DD8"/>
    <w:rsid w:val="00047528"/>
    <w:rsid w:val="0005016C"/>
    <w:rsid w:val="000505D5"/>
    <w:rsid w:val="00056141"/>
    <w:rsid w:val="00057ABF"/>
    <w:rsid w:val="00057CAC"/>
    <w:rsid w:val="000611A8"/>
    <w:rsid w:val="0006215F"/>
    <w:rsid w:val="00064406"/>
    <w:rsid w:val="00066649"/>
    <w:rsid w:val="00066C47"/>
    <w:rsid w:val="00067AB5"/>
    <w:rsid w:val="00074B29"/>
    <w:rsid w:val="000771A0"/>
    <w:rsid w:val="000776F6"/>
    <w:rsid w:val="000809B4"/>
    <w:rsid w:val="000839EE"/>
    <w:rsid w:val="000A0CF0"/>
    <w:rsid w:val="000A5507"/>
    <w:rsid w:val="000A6304"/>
    <w:rsid w:val="000A6372"/>
    <w:rsid w:val="000A6444"/>
    <w:rsid w:val="000B1615"/>
    <w:rsid w:val="000B59C7"/>
    <w:rsid w:val="000B5D09"/>
    <w:rsid w:val="000B6C14"/>
    <w:rsid w:val="000C353D"/>
    <w:rsid w:val="000C384E"/>
    <w:rsid w:val="000C719E"/>
    <w:rsid w:val="000D04F3"/>
    <w:rsid w:val="000D1D66"/>
    <w:rsid w:val="000D3AA2"/>
    <w:rsid w:val="000D4FEC"/>
    <w:rsid w:val="000D5A89"/>
    <w:rsid w:val="000D5B68"/>
    <w:rsid w:val="000D7017"/>
    <w:rsid w:val="000D7D74"/>
    <w:rsid w:val="000E0BBF"/>
    <w:rsid w:val="000E1453"/>
    <w:rsid w:val="000F0D4D"/>
    <w:rsid w:val="000F1E71"/>
    <w:rsid w:val="000F28D8"/>
    <w:rsid w:val="000F4D95"/>
    <w:rsid w:val="000F6093"/>
    <w:rsid w:val="00103F51"/>
    <w:rsid w:val="00105A21"/>
    <w:rsid w:val="00105DB5"/>
    <w:rsid w:val="0011048C"/>
    <w:rsid w:val="00110E35"/>
    <w:rsid w:val="0011209E"/>
    <w:rsid w:val="00113476"/>
    <w:rsid w:val="00113861"/>
    <w:rsid w:val="00113C82"/>
    <w:rsid w:val="00122A2A"/>
    <w:rsid w:val="0012433E"/>
    <w:rsid w:val="0013441E"/>
    <w:rsid w:val="00135E67"/>
    <w:rsid w:val="00150A92"/>
    <w:rsid w:val="00152897"/>
    <w:rsid w:val="001528FE"/>
    <w:rsid w:val="00155E55"/>
    <w:rsid w:val="00160415"/>
    <w:rsid w:val="00165A23"/>
    <w:rsid w:val="00166092"/>
    <w:rsid w:val="00172E05"/>
    <w:rsid w:val="00174C95"/>
    <w:rsid w:val="001808F7"/>
    <w:rsid w:val="001816E9"/>
    <w:rsid w:val="00187FAD"/>
    <w:rsid w:val="00193D47"/>
    <w:rsid w:val="001951DC"/>
    <w:rsid w:val="001964EA"/>
    <w:rsid w:val="001A02E6"/>
    <w:rsid w:val="001A07C9"/>
    <w:rsid w:val="001A2826"/>
    <w:rsid w:val="001C2563"/>
    <w:rsid w:val="001D003F"/>
    <w:rsid w:val="001D0CF8"/>
    <w:rsid w:val="001D35F8"/>
    <w:rsid w:val="001D3EC5"/>
    <w:rsid w:val="001D447D"/>
    <w:rsid w:val="001D5C46"/>
    <w:rsid w:val="001D714E"/>
    <w:rsid w:val="001E6A78"/>
    <w:rsid w:val="001F0F71"/>
    <w:rsid w:val="001F1BE8"/>
    <w:rsid w:val="0020011A"/>
    <w:rsid w:val="0020112B"/>
    <w:rsid w:val="002033C0"/>
    <w:rsid w:val="00207386"/>
    <w:rsid w:val="00216B71"/>
    <w:rsid w:val="002176EE"/>
    <w:rsid w:val="0022026D"/>
    <w:rsid w:val="00232F42"/>
    <w:rsid w:val="00235C1C"/>
    <w:rsid w:val="00237B5F"/>
    <w:rsid w:val="00247F96"/>
    <w:rsid w:val="00250989"/>
    <w:rsid w:val="00252026"/>
    <w:rsid w:val="00253C90"/>
    <w:rsid w:val="00254CBF"/>
    <w:rsid w:val="00257DEE"/>
    <w:rsid w:val="002619C1"/>
    <w:rsid w:val="0026290F"/>
    <w:rsid w:val="00264A2E"/>
    <w:rsid w:val="00264F60"/>
    <w:rsid w:val="002675A7"/>
    <w:rsid w:val="00273367"/>
    <w:rsid w:val="00276F88"/>
    <w:rsid w:val="00297630"/>
    <w:rsid w:val="002A2363"/>
    <w:rsid w:val="002A70E0"/>
    <w:rsid w:val="002B295D"/>
    <w:rsid w:val="002B3A0A"/>
    <w:rsid w:val="002B3C70"/>
    <w:rsid w:val="002B71D3"/>
    <w:rsid w:val="002C0012"/>
    <w:rsid w:val="002C64B3"/>
    <w:rsid w:val="002D27B0"/>
    <w:rsid w:val="002E5640"/>
    <w:rsid w:val="002E6454"/>
    <w:rsid w:val="002F2C8A"/>
    <w:rsid w:val="002F493A"/>
    <w:rsid w:val="002F5893"/>
    <w:rsid w:val="003014D2"/>
    <w:rsid w:val="00301880"/>
    <w:rsid w:val="0030592B"/>
    <w:rsid w:val="003059F2"/>
    <w:rsid w:val="00306C53"/>
    <w:rsid w:val="00306E35"/>
    <w:rsid w:val="00307897"/>
    <w:rsid w:val="0031253F"/>
    <w:rsid w:val="003130C4"/>
    <w:rsid w:val="003142D5"/>
    <w:rsid w:val="00324400"/>
    <w:rsid w:val="00324BEF"/>
    <w:rsid w:val="003268DB"/>
    <w:rsid w:val="003275C9"/>
    <w:rsid w:val="00330951"/>
    <w:rsid w:val="003316D3"/>
    <w:rsid w:val="00332D29"/>
    <w:rsid w:val="00334DF2"/>
    <w:rsid w:val="00340D51"/>
    <w:rsid w:val="00342CA6"/>
    <w:rsid w:val="00342DED"/>
    <w:rsid w:val="00345F45"/>
    <w:rsid w:val="00350EA8"/>
    <w:rsid w:val="00350FDB"/>
    <w:rsid w:val="00354D47"/>
    <w:rsid w:val="00355684"/>
    <w:rsid w:val="00360179"/>
    <w:rsid w:val="00361B04"/>
    <w:rsid w:val="003649DE"/>
    <w:rsid w:val="00366CEB"/>
    <w:rsid w:val="00367716"/>
    <w:rsid w:val="003710AD"/>
    <w:rsid w:val="00371A09"/>
    <w:rsid w:val="00372BBE"/>
    <w:rsid w:val="00373488"/>
    <w:rsid w:val="003765D0"/>
    <w:rsid w:val="003823B7"/>
    <w:rsid w:val="00392436"/>
    <w:rsid w:val="0039257C"/>
    <w:rsid w:val="00394478"/>
    <w:rsid w:val="003B350E"/>
    <w:rsid w:val="003C3E98"/>
    <w:rsid w:val="003C7815"/>
    <w:rsid w:val="003D04FA"/>
    <w:rsid w:val="003D0F2A"/>
    <w:rsid w:val="003D0F31"/>
    <w:rsid w:val="003D7C74"/>
    <w:rsid w:val="003E1918"/>
    <w:rsid w:val="003E5CC4"/>
    <w:rsid w:val="003E6B3F"/>
    <w:rsid w:val="003F1279"/>
    <w:rsid w:val="003F2ECE"/>
    <w:rsid w:val="003F32BE"/>
    <w:rsid w:val="003F450E"/>
    <w:rsid w:val="003F710C"/>
    <w:rsid w:val="004022E0"/>
    <w:rsid w:val="00403481"/>
    <w:rsid w:val="0040382E"/>
    <w:rsid w:val="004039AA"/>
    <w:rsid w:val="004053D4"/>
    <w:rsid w:val="00407C65"/>
    <w:rsid w:val="00417547"/>
    <w:rsid w:val="00417ECE"/>
    <w:rsid w:val="00425112"/>
    <w:rsid w:val="0043129D"/>
    <w:rsid w:val="004338EC"/>
    <w:rsid w:val="00434CE1"/>
    <w:rsid w:val="004416DD"/>
    <w:rsid w:val="00441A72"/>
    <w:rsid w:val="004447A2"/>
    <w:rsid w:val="004503AC"/>
    <w:rsid w:val="00452160"/>
    <w:rsid w:val="00461A16"/>
    <w:rsid w:val="00461EE6"/>
    <w:rsid w:val="004620AF"/>
    <w:rsid w:val="00472077"/>
    <w:rsid w:val="0047499B"/>
    <w:rsid w:val="00475DD6"/>
    <w:rsid w:val="004801B4"/>
    <w:rsid w:val="0048415F"/>
    <w:rsid w:val="00486F8E"/>
    <w:rsid w:val="004871DD"/>
    <w:rsid w:val="0048772C"/>
    <w:rsid w:val="004971CA"/>
    <w:rsid w:val="004A0C23"/>
    <w:rsid w:val="004A16AB"/>
    <w:rsid w:val="004A1927"/>
    <w:rsid w:val="004A582C"/>
    <w:rsid w:val="004A64FE"/>
    <w:rsid w:val="004B2E20"/>
    <w:rsid w:val="004B2E2F"/>
    <w:rsid w:val="004C1E7A"/>
    <w:rsid w:val="004C2532"/>
    <w:rsid w:val="004C3EAA"/>
    <w:rsid w:val="004C7F31"/>
    <w:rsid w:val="004D231A"/>
    <w:rsid w:val="004D48BF"/>
    <w:rsid w:val="004E0265"/>
    <w:rsid w:val="004E1699"/>
    <w:rsid w:val="004F1369"/>
    <w:rsid w:val="0050213E"/>
    <w:rsid w:val="0050291E"/>
    <w:rsid w:val="00503773"/>
    <w:rsid w:val="00506267"/>
    <w:rsid w:val="00506384"/>
    <w:rsid w:val="0050691C"/>
    <w:rsid w:val="00510D4A"/>
    <w:rsid w:val="0051313C"/>
    <w:rsid w:val="00514C0C"/>
    <w:rsid w:val="005161DD"/>
    <w:rsid w:val="00520D19"/>
    <w:rsid w:val="005225C1"/>
    <w:rsid w:val="005243A6"/>
    <w:rsid w:val="0052530D"/>
    <w:rsid w:val="00526D86"/>
    <w:rsid w:val="00527B66"/>
    <w:rsid w:val="00530AE7"/>
    <w:rsid w:val="005336DF"/>
    <w:rsid w:val="00534212"/>
    <w:rsid w:val="00535729"/>
    <w:rsid w:val="00543E5A"/>
    <w:rsid w:val="00545449"/>
    <w:rsid w:val="00553A28"/>
    <w:rsid w:val="0056521C"/>
    <w:rsid w:val="00567B48"/>
    <w:rsid w:val="00567E18"/>
    <w:rsid w:val="00580B35"/>
    <w:rsid w:val="00581899"/>
    <w:rsid w:val="00583EF0"/>
    <w:rsid w:val="00587642"/>
    <w:rsid w:val="00590338"/>
    <w:rsid w:val="00592EEC"/>
    <w:rsid w:val="00595973"/>
    <w:rsid w:val="00597873"/>
    <w:rsid w:val="005A7FF7"/>
    <w:rsid w:val="005B0A88"/>
    <w:rsid w:val="005B11F6"/>
    <w:rsid w:val="005C70C5"/>
    <w:rsid w:val="005C7488"/>
    <w:rsid w:val="005D4B2E"/>
    <w:rsid w:val="005E0615"/>
    <w:rsid w:val="005F1A27"/>
    <w:rsid w:val="005F54C5"/>
    <w:rsid w:val="005F58EC"/>
    <w:rsid w:val="005F7FE8"/>
    <w:rsid w:val="00600390"/>
    <w:rsid w:val="00603D94"/>
    <w:rsid w:val="00604AC0"/>
    <w:rsid w:val="00606822"/>
    <w:rsid w:val="006102D9"/>
    <w:rsid w:val="0061151A"/>
    <w:rsid w:val="00613228"/>
    <w:rsid w:val="006166F0"/>
    <w:rsid w:val="00617849"/>
    <w:rsid w:val="006201C8"/>
    <w:rsid w:val="00625EEF"/>
    <w:rsid w:val="00626BE0"/>
    <w:rsid w:val="00633B29"/>
    <w:rsid w:val="00633E72"/>
    <w:rsid w:val="00634DB3"/>
    <w:rsid w:val="00636A7C"/>
    <w:rsid w:val="0063772D"/>
    <w:rsid w:val="0064056D"/>
    <w:rsid w:val="006408FF"/>
    <w:rsid w:val="00640F03"/>
    <w:rsid w:val="00644492"/>
    <w:rsid w:val="006500C7"/>
    <w:rsid w:val="006519EF"/>
    <w:rsid w:val="00652142"/>
    <w:rsid w:val="006555E7"/>
    <w:rsid w:val="00656952"/>
    <w:rsid w:val="00657506"/>
    <w:rsid w:val="006648A6"/>
    <w:rsid w:val="00665898"/>
    <w:rsid w:val="00665FA9"/>
    <w:rsid w:val="0066703D"/>
    <w:rsid w:val="0067112F"/>
    <w:rsid w:val="00671FC5"/>
    <w:rsid w:val="006747E4"/>
    <w:rsid w:val="00674D8E"/>
    <w:rsid w:val="006757FA"/>
    <w:rsid w:val="00676169"/>
    <w:rsid w:val="00677896"/>
    <w:rsid w:val="0068695A"/>
    <w:rsid w:val="006931CE"/>
    <w:rsid w:val="00695972"/>
    <w:rsid w:val="006A5AE9"/>
    <w:rsid w:val="006C3BD9"/>
    <w:rsid w:val="006C4C3C"/>
    <w:rsid w:val="006D1AA8"/>
    <w:rsid w:val="006D6E87"/>
    <w:rsid w:val="006E2275"/>
    <w:rsid w:val="006E28F6"/>
    <w:rsid w:val="006E41DA"/>
    <w:rsid w:val="006F1D5A"/>
    <w:rsid w:val="006F28AE"/>
    <w:rsid w:val="006F2A6F"/>
    <w:rsid w:val="006F48B1"/>
    <w:rsid w:val="006F5B05"/>
    <w:rsid w:val="006F790B"/>
    <w:rsid w:val="0070231F"/>
    <w:rsid w:val="007026CD"/>
    <w:rsid w:val="00707019"/>
    <w:rsid w:val="00711EE3"/>
    <w:rsid w:val="00712223"/>
    <w:rsid w:val="007150E9"/>
    <w:rsid w:val="0071597F"/>
    <w:rsid w:val="00721EFD"/>
    <w:rsid w:val="00721F73"/>
    <w:rsid w:val="00722546"/>
    <w:rsid w:val="00737C2A"/>
    <w:rsid w:val="00741633"/>
    <w:rsid w:val="007435E7"/>
    <w:rsid w:val="007517F1"/>
    <w:rsid w:val="0075228A"/>
    <w:rsid w:val="00754A24"/>
    <w:rsid w:val="00761DF2"/>
    <w:rsid w:val="00765860"/>
    <w:rsid w:val="007666BB"/>
    <w:rsid w:val="0076716A"/>
    <w:rsid w:val="00770D22"/>
    <w:rsid w:val="00771AE6"/>
    <w:rsid w:val="007757E3"/>
    <w:rsid w:val="00780E15"/>
    <w:rsid w:val="00781C83"/>
    <w:rsid w:val="00783F41"/>
    <w:rsid w:val="00785DD6"/>
    <w:rsid w:val="00786669"/>
    <w:rsid w:val="007934E0"/>
    <w:rsid w:val="007946B7"/>
    <w:rsid w:val="00795049"/>
    <w:rsid w:val="007954AB"/>
    <w:rsid w:val="00796B5F"/>
    <w:rsid w:val="007A2170"/>
    <w:rsid w:val="007A2853"/>
    <w:rsid w:val="007A4E66"/>
    <w:rsid w:val="007B0C41"/>
    <w:rsid w:val="007B5098"/>
    <w:rsid w:val="007B5543"/>
    <w:rsid w:val="007B67C4"/>
    <w:rsid w:val="007C5221"/>
    <w:rsid w:val="007C5E9D"/>
    <w:rsid w:val="007E21C6"/>
    <w:rsid w:val="007E3352"/>
    <w:rsid w:val="007E3AAA"/>
    <w:rsid w:val="007F3000"/>
    <w:rsid w:val="007F5372"/>
    <w:rsid w:val="007F698C"/>
    <w:rsid w:val="00800A52"/>
    <w:rsid w:val="0080159D"/>
    <w:rsid w:val="008016A9"/>
    <w:rsid w:val="00801808"/>
    <w:rsid w:val="0080347B"/>
    <w:rsid w:val="00803FFC"/>
    <w:rsid w:val="00810D4B"/>
    <w:rsid w:val="008137E7"/>
    <w:rsid w:val="008141EB"/>
    <w:rsid w:val="00817B81"/>
    <w:rsid w:val="008211B6"/>
    <w:rsid w:val="00821422"/>
    <w:rsid w:val="0082614C"/>
    <w:rsid w:val="00832AFC"/>
    <w:rsid w:val="00832FE8"/>
    <w:rsid w:val="0084235E"/>
    <w:rsid w:val="00846F42"/>
    <w:rsid w:val="0085226F"/>
    <w:rsid w:val="00856503"/>
    <w:rsid w:val="00860539"/>
    <w:rsid w:val="0086053B"/>
    <w:rsid w:val="00862407"/>
    <w:rsid w:val="00862B24"/>
    <w:rsid w:val="00865375"/>
    <w:rsid w:val="0086759E"/>
    <w:rsid w:val="008710EF"/>
    <w:rsid w:val="008747B6"/>
    <w:rsid w:val="0087636C"/>
    <w:rsid w:val="00877D28"/>
    <w:rsid w:val="00880C9D"/>
    <w:rsid w:val="0088148E"/>
    <w:rsid w:val="00885F18"/>
    <w:rsid w:val="00887102"/>
    <w:rsid w:val="008914C0"/>
    <w:rsid w:val="00894795"/>
    <w:rsid w:val="00896B5A"/>
    <w:rsid w:val="008A307C"/>
    <w:rsid w:val="008A30C7"/>
    <w:rsid w:val="008B03AD"/>
    <w:rsid w:val="008B2612"/>
    <w:rsid w:val="008B6716"/>
    <w:rsid w:val="008B730D"/>
    <w:rsid w:val="008B7373"/>
    <w:rsid w:val="008B78D2"/>
    <w:rsid w:val="008C0DDE"/>
    <w:rsid w:val="008C261A"/>
    <w:rsid w:val="008D3D1C"/>
    <w:rsid w:val="008D6DE6"/>
    <w:rsid w:val="008E008A"/>
    <w:rsid w:val="008E3307"/>
    <w:rsid w:val="008F046D"/>
    <w:rsid w:val="008F5918"/>
    <w:rsid w:val="008F7086"/>
    <w:rsid w:val="008F7135"/>
    <w:rsid w:val="00901C3C"/>
    <w:rsid w:val="00902015"/>
    <w:rsid w:val="00902078"/>
    <w:rsid w:val="00902386"/>
    <w:rsid w:val="0090542B"/>
    <w:rsid w:val="009058B8"/>
    <w:rsid w:val="00913EE2"/>
    <w:rsid w:val="0092004D"/>
    <w:rsid w:val="00921E75"/>
    <w:rsid w:val="00932899"/>
    <w:rsid w:val="0093371C"/>
    <w:rsid w:val="00933CB0"/>
    <w:rsid w:val="0093440F"/>
    <w:rsid w:val="00934730"/>
    <w:rsid w:val="00934847"/>
    <w:rsid w:val="0093710D"/>
    <w:rsid w:val="009401C3"/>
    <w:rsid w:val="009404E2"/>
    <w:rsid w:val="00941390"/>
    <w:rsid w:val="00943592"/>
    <w:rsid w:val="0094692C"/>
    <w:rsid w:val="00946D7B"/>
    <w:rsid w:val="0095634B"/>
    <w:rsid w:val="00965519"/>
    <w:rsid w:val="00971E9D"/>
    <w:rsid w:val="009735B0"/>
    <w:rsid w:val="0097378D"/>
    <w:rsid w:val="00976A1A"/>
    <w:rsid w:val="00992DBD"/>
    <w:rsid w:val="0099560C"/>
    <w:rsid w:val="00995D17"/>
    <w:rsid w:val="0099732B"/>
    <w:rsid w:val="009975BC"/>
    <w:rsid w:val="009A3269"/>
    <w:rsid w:val="009A3D75"/>
    <w:rsid w:val="009B252A"/>
    <w:rsid w:val="009B4E9D"/>
    <w:rsid w:val="009B54CD"/>
    <w:rsid w:val="009C37B2"/>
    <w:rsid w:val="009C4BD9"/>
    <w:rsid w:val="009D2454"/>
    <w:rsid w:val="009D71FD"/>
    <w:rsid w:val="009E202A"/>
    <w:rsid w:val="009E3815"/>
    <w:rsid w:val="009E646B"/>
    <w:rsid w:val="009E706D"/>
    <w:rsid w:val="00A027F2"/>
    <w:rsid w:val="00A02B4D"/>
    <w:rsid w:val="00A0623E"/>
    <w:rsid w:val="00A10D8C"/>
    <w:rsid w:val="00A131E2"/>
    <w:rsid w:val="00A140BD"/>
    <w:rsid w:val="00A2014C"/>
    <w:rsid w:val="00A22AC5"/>
    <w:rsid w:val="00A2368B"/>
    <w:rsid w:val="00A262EF"/>
    <w:rsid w:val="00A26956"/>
    <w:rsid w:val="00A27969"/>
    <w:rsid w:val="00A3454F"/>
    <w:rsid w:val="00A349E5"/>
    <w:rsid w:val="00A41713"/>
    <w:rsid w:val="00A433C9"/>
    <w:rsid w:val="00A512AA"/>
    <w:rsid w:val="00A5243C"/>
    <w:rsid w:val="00A53344"/>
    <w:rsid w:val="00A5641E"/>
    <w:rsid w:val="00A56F36"/>
    <w:rsid w:val="00A57BB1"/>
    <w:rsid w:val="00A631B5"/>
    <w:rsid w:val="00A65A3E"/>
    <w:rsid w:val="00A70871"/>
    <w:rsid w:val="00A70B59"/>
    <w:rsid w:val="00A815BA"/>
    <w:rsid w:val="00A824CF"/>
    <w:rsid w:val="00A85C09"/>
    <w:rsid w:val="00A93307"/>
    <w:rsid w:val="00A95C77"/>
    <w:rsid w:val="00A97074"/>
    <w:rsid w:val="00AA1A7F"/>
    <w:rsid w:val="00AA1B0F"/>
    <w:rsid w:val="00AA4119"/>
    <w:rsid w:val="00AA5860"/>
    <w:rsid w:val="00AC042E"/>
    <w:rsid w:val="00AC3921"/>
    <w:rsid w:val="00AD1BEB"/>
    <w:rsid w:val="00AD2820"/>
    <w:rsid w:val="00AD3CBA"/>
    <w:rsid w:val="00AD4421"/>
    <w:rsid w:val="00AD53D4"/>
    <w:rsid w:val="00AE0F82"/>
    <w:rsid w:val="00AE12C9"/>
    <w:rsid w:val="00AE4609"/>
    <w:rsid w:val="00AE787E"/>
    <w:rsid w:val="00B00B82"/>
    <w:rsid w:val="00B03EA4"/>
    <w:rsid w:val="00B04E09"/>
    <w:rsid w:val="00B05E68"/>
    <w:rsid w:val="00B153A2"/>
    <w:rsid w:val="00B242B7"/>
    <w:rsid w:val="00B254D7"/>
    <w:rsid w:val="00B27CEA"/>
    <w:rsid w:val="00B326FA"/>
    <w:rsid w:val="00B35B7E"/>
    <w:rsid w:val="00B36E86"/>
    <w:rsid w:val="00B4150C"/>
    <w:rsid w:val="00B4366D"/>
    <w:rsid w:val="00B52560"/>
    <w:rsid w:val="00B534BC"/>
    <w:rsid w:val="00B539C1"/>
    <w:rsid w:val="00B60971"/>
    <w:rsid w:val="00B60ABB"/>
    <w:rsid w:val="00B616B3"/>
    <w:rsid w:val="00B6252D"/>
    <w:rsid w:val="00B63CC6"/>
    <w:rsid w:val="00B739EB"/>
    <w:rsid w:val="00B80150"/>
    <w:rsid w:val="00B81F2C"/>
    <w:rsid w:val="00B96365"/>
    <w:rsid w:val="00B9752F"/>
    <w:rsid w:val="00BA3245"/>
    <w:rsid w:val="00BA46C7"/>
    <w:rsid w:val="00BA742D"/>
    <w:rsid w:val="00BB1F13"/>
    <w:rsid w:val="00BB55BD"/>
    <w:rsid w:val="00BB5610"/>
    <w:rsid w:val="00BC00F7"/>
    <w:rsid w:val="00BC05EF"/>
    <w:rsid w:val="00BC065D"/>
    <w:rsid w:val="00BC0B4E"/>
    <w:rsid w:val="00BC18C3"/>
    <w:rsid w:val="00BD0CC4"/>
    <w:rsid w:val="00BF0E9E"/>
    <w:rsid w:val="00BF1214"/>
    <w:rsid w:val="00C00C48"/>
    <w:rsid w:val="00C0382B"/>
    <w:rsid w:val="00C1278B"/>
    <w:rsid w:val="00C13260"/>
    <w:rsid w:val="00C1578B"/>
    <w:rsid w:val="00C24473"/>
    <w:rsid w:val="00C268D8"/>
    <w:rsid w:val="00C347FE"/>
    <w:rsid w:val="00C42664"/>
    <w:rsid w:val="00C4267F"/>
    <w:rsid w:val="00C42889"/>
    <w:rsid w:val="00C4407D"/>
    <w:rsid w:val="00C453EC"/>
    <w:rsid w:val="00C467C6"/>
    <w:rsid w:val="00C47095"/>
    <w:rsid w:val="00C504B3"/>
    <w:rsid w:val="00C52272"/>
    <w:rsid w:val="00C53EA7"/>
    <w:rsid w:val="00C56322"/>
    <w:rsid w:val="00C57BD3"/>
    <w:rsid w:val="00C6589A"/>
    <w:rsid w:val="00C67B1C"/>
    <w:rsid w:val="00C703B2"/>
    <w:rsid w:val="00C740A2"/>
    <w:rsid w:val="00C7411A"/>
    <w:rsid w:val="00C76D3D"/>
    <w:rsid w:val="00C82C7A"/>
    <w:rsid w:val="00C96F2B"/>
    <w:rsid w:val="00C970D8"/>
    <w:rsid w:val="00C972D3"/>
    <w:rsid w:val="00C974A9"/>
    <w:rsid w:val="00CA0400"/>
    <w:rsid w:val="00CC2DC7"/>
    <w:rsid w:val="00CC47A7"/>
    <w:rsid w:val="00CC544C"/>
    <w:rsid w:val="00CD162E"/>
    <w:rsid w:val="00CD2952"/>
    <w:rsid w:val="00CD4214"/>
    <w:rsid w:val="00CD485B"/>
    <w:rsid w:val="00CD4A57"/>
    <w:rsid w:val="00CD6D44"/>
    <w:rsid w:val="00CE08E6"/>
    <w:rsid w:val="00CE5FC3"/>
    <w:rsid w:val="00CF3553"/>
    <w:rsid w:val="00CF6B27"/>
    <w:rsid w:val="00D00E65"/>
    <w:rsid w:val="00D014B8"/>
    <w:rsid w:val="00D078DD"/>
    <w:rsid w:val="00D13AD3"/>
    <w:rsid w:val="00D166B4"/>
    <w:rsid w:val="00D16B72"/>
    <w:rsid w:val="00D20967"/>
    <w:rsid w:val="00D2442C"/>
    <w:rsid w:val="00D27169"/>
    <w:rsid w:val="00D30F76"/>
    <w:rsid w:val="00D335B0"/>
    <w:rsid w:val="00D36A7C"/>
    <w:rsid w:val="00D37590"/>
    <w:rsid w:val="00D475E9"/>
    <w:rsid w:val="00D50B89"/>
    <w:rsid w:val="00D5280C"/>
    <w:rsid w:val="00D53F79"/>
    <w:rsid w:val="00D540B6"/>
    <w:rsid w:val="00D54644"/>
    <w:rsid w:val="00D548B4"/>
    <w:rsid w:val="00D64365"/>
    <w:rsid w:val="00D66FD1"/>
    <w:rsid w:val="00D701DD"/>
    <w:rsid w:val="00D71F8F"/>
    <w:rsid w:val="00D74569"/>
    <w:rsid w:val="00D85CB7"/>
    <w:rsid w:val="00D917D1"/>
    <w:rsid w:val="00D91E3A"/>
    <w:rsid w:val="00D92E15"/>
    <w:rsid w:val="00D94C09"/>
    <w:rsid w:val="00D952E4"/>
    <w:rsid w:val="00DA2402"/>
    <w:rsid w:val="00DA4752"/>
    <w:rsid w:val="00DA7CED"/>
    <w:rsid w:val="00DB23EC"/>
    <w:rsid w:val="00DB3212"/>
    <w:rsid w:val="00DB3A19"/>
    <w:rsid w:val="00DB42F2"/>
    <w:rsid w:val="00DB5A60"/>
    <w:rsid w:val="00DC29A0"/>
    <w:rsid w:val="00DC5638"/>
    <w:rsid w:val="00DC5F02"/>
    <w:rsid w:val="00DE1D3D"/>
    <w:rsid w:val="00DF166E"/>
    <w:rsid w:val="00DF17D4"/>
    <w:rsid w:val="00DF1CC7"/>
    <w:rsid w:val="00E0757E"/>
    <w:rsid w:val="00E15572"/>
    <w:rsid w:val="00E17FB9"/>
    <w:rsid w:val="00E203BC"/>
    <w:rsid w:val="00E23A0D"/>
    <w:rsid w:val="00E40847"/>
    <w:rsid w:val="00E41A63"/>
    <w:rsid w:val="00E435FB"/>
    <w:rsid w:val="00E463BD"/>
    <w:rsid w:val="00E47C92"/>
    <w:rsid w:val="00E500F8"/>
    <w:rsid w:val="00E51CCB"/>
    <w:rsid w:val="00E52EC6"/>
    <w:rsid w:val="00E53226"/>
    <w:rsid w:val="00E54205"/>
    <w:rsid w:val="00E60FD4"/>
    <w:rsid w:val="00E707D1"/>
    <w:rsid w:val="00E71CD1"/>
    <w:rsid w:val="00E733ED"/>
    <w:rsid w:val="00E735D4"/>
    <w:rsid w:val="00E76C5F"/>
    <w:rsid w:val="00E77C94"/>
    <w:rsid w:val="00E86A00"/>
    <w:rsid w:val="00E95A5A"/>
    <w:rsid w:val="00E964EA"/>
    <w:rsid w:val="00EA1A9A"/>
    <w:rsid w:val="00EA3D0D"/>
    <w:rsid w:val="00EB5590"/>
    <w:rsid w:val="00EC1C5E"/>
    <w:rsid w:val="00EC20A5"/>
    <w:rsid w:val="00ED2C32"/>
    <w:rsid w:val="00ED3A40"/>
    <w:rsid w:val="00ED4149"/>
    <w:rsid w:val="00ED6149"/>
    <w:rsid w:val="00ED7AFE"/>
    <w:rsid w:val="00EE2B51"/>
    <w:rsid w:val="00EE3044"/>
    <w:rsid w:val="00EE3F5A"/>
    <w:rsid w:val="00EE796D"/>
    <w:rsid w:val="00EF0789"/>
    <w:rsid w:val="00EF23FC"/>
    <w:rsid w:val="00EF58D7"/>
    <w:rsid w:val="00EF61E6"/>
    <w:rsid w:val="00EF7639"/>
    <w:rsid w:val="00F02098"/>
    <w:rsid w:val="00F0377F"/>
    <w:rsid w:val="00F03B7B"/>
    <w:rsid w:val="00F03BF5"/>
    <w:rsid w:val="00F04AAE"/>
    <w:rsid w:val="00F1114C"/>
    <w:rsid w:val="00F15D11"/>
    <w:rsid w:val="00F167F4"/>
    <w:rsid w:val="00F20147"/>
    <w:rsid w:val="00F238B8"/>
    <w:rsid w:val="00F26177"/>
    <w:rsid w:val="00F26610"/>
    <w:rsid w:val="00F345A7"/>
    <w:rsid w:val="00F409F7"/>
    <w:rsid w:val="00F40E6E"/>
    <w:rsid w:val="00F43E1E"/>
    <w:rsid w:val="00F4549E"/>
    <w:rsid w:val="00F46316"/>
    <w:rsid w:val="00F50F44"/>
    <w:rsid w:val="00F52F2C"/>
    <w:rsid w:val="00F553F4"/>
    <w:rsid w:val="00F570B0"/>
    <w:rsid w:val="00F60F04"/>
    <w:rsid w:val="00F62DE5"/>
    <w:rsid w:val="00F63F5B"/>
    <w:rsid w:val="00F71F7E"/>
    <w:rsid w:val="00F83EAA"/>
    <w:rsid w:val="00F9616C"/>
    <w:rsid w:val="00F967DB"/>
    <w:rsid w:val="00FA19E2"/>
    <w:rsid w:val="00FA6DFF"/>
    <w:rsid w:val="00FA7077"/>
    <w:rsid w:val="00FB0BD8"/>
    <w:rsid w:val="00FB2C99"/>
    <w:rsid w:val="00FB579A"/>
    <w:rsid w:val="00FC13F6"/>
    <w:rsid w:val="00FC671C"/>
    <w:rsid w:val="00FE0291"/>
    <w:rsid w:val="00FE06FF"/>
    <w:rsid w:val="00FE4FD9"/>
    <w:rsid w:val="00FF22E8"/>
    <w:rsid w:val="00FF23EC"/>
    <w:rsid w:val="00FF56B5"/>
    <w:rsid w:val="00FF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Indent"/>
    <w:qFormat/>
    <w:pPr>
      <w:ind w:left="360"/>
      <w:outlineLvl w:val="3"/>
    </w:pPr>
    <w:rPr>
      <w:rFonts w:ascii="Times New Roman" w:hAnsi="Times New Roman"/>
      <w:u w:val="single"/>
    </w:rPr>
  </w:style>
  <w:style w:type="paragraph" w:styleId="Heading5">
    <w:name w:val="heading 5"/>
    <w:basedOn w:val="Normal"/>
    <w:next w:val="NormalIndent"/>
    <w:qFormat/>
    <w:pPr>
      <w:ind w:left="720"/>
      <w:outlineLvl w:val="4"/>
    </w:pPr>
    <w:rPr>
      <w:rFonts w:ascii="Times New Roman" w:hAnsi="Times New Roman"/>
      <w:b/>
      <w:sz w:val="20"/>
    </w:rPr>
  </w:style>
  <w:style w:type="paragraph" w:styleId="Heading6">
    <w:name w:val="heading 6"/>
    <w:basedOn w:val="Normal"/>
    <w:next w:val="NormalIndent"/>
    <w:qFormat/>
    <w:pPr>
      <w:ind w:left="720"/>
      <w:outlineLvl w:val="5"/>
    </w:pPr>
    <w:rPr>
      <w:rFonts w:ascii="Times New Roman" w:hAnsi="Times New Roman"/>
      <w:sz w:val="20"/>
      <w:u w:val="single"/>
    </w:rPr>
  </w:style>
  <w:style w:type="paragraph" w:styleId="Heading7">
    <w:name w:val="heading 7"/>
    <w:basedOn w:val="Normal"/>
    <w:next w:val="NormalIndent"/>
    <w:qFormat/>
    <w:pPr>
      <w:ind w:left="720"/>
      <w:outlineLvl w:val="6"/>
    </w:pPr>
    <w:rPr>
      <w:rFonts w:ascii="Times New Roman" w:hAnsi="Times New Roman"/>
      <w:i/>
      <w:sz w:val="20"/>
    </w:rPr>
  </w:style>
  <w:style w:type="paragraph" w:styleId="Heading8">
    <w:name w:val="heading 8"/>
    <w:basedOn w:val="Normal"/>
    <w:next w:val="NormalIndent"/>
    <w:qFormat/>
    <w:pPr>
      <w:ind w:left="720"/>
      <w:outlineLvl w:val="7"/>
    </w:pPr>
    <w:rPr>
      <w:rFonts w:ascii="Times New Roman" w:hAnsi="Times New Roman"/>
      <w:i/>
      <w:sz w:val="20"/>
    </w:rPr>
  </w:style>
  <w:style w:type="paragraph" w:styleId="Heading9">
    <w:name w:val="heading 9"/>
    <w:basedOn w:val="Normal"/>
    <w:next w:val="NormalIndent"/>
    <w:qFormat/>
    <w:pPr>
      <w:ind w:left="720"/>
      <w:outlineLvl w:val="8"/>
    </w:pPr>
    <w:rPr>
      <w:rFonts w:ascii="Times New Roman" w:hAnsi="Times New Roman"/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TOC2">
    <w:name w:val="toc 2"/>
    <w:basedOn w:val="Normal"/>
    <w:next w:val="Normal"/>
    <w:semiHidden/>
    <w:pPr>
      <w:tabs>
        <w:tab w:val="left" w:leader="dot" w:pos="8280"/>
        <w:tab w:val="right" w:pos="8640"/>
      </w:tabs>
      <w:ind w:left="720" w:right="720"/>
    </w:pPr>
  </w:style>
  <w:style w:type="paragraph" w:styleId="TOC1">
    <w:name w:val="toc 1"/>
    <w:basedOn w:val="Normal"/>
    <w:next w:val="Normal"/>
    <w:semiHidden/>
    <w:pPr>
      <w:tabs>
        <w:tab w:val="left" w:leader="dot" w:pos="8280"/>
        <w:tab w:val="right" w:pos="8640"/>
      </w:tabs>
      <w:ind w:right="720"/>
    </w:pPr>
  </w:style>
  <w:style w:type="paragraph" w:styleId="Index7">
    <w:name w:val="index 7"/>
    <w:basedOn w:val="Normal"/>
    <w:next w:val="Normal"/>
    <w:semiHidden/>
    <w:pPr>
      <w:ind w:left="2160"/>
    </w:pPr>
  </w:style>
  <w:style w:type="paragraph" w:styleId="Index6">
    <w:name w:val="index 6"/>
    <w:basedOn w:val="Normal"/>
    <w:next w:val="Normal"/>
    <w:semiHidden/>
    <w:pPr>
      <w:ind w:left="1800"/>
    </w:pPr>
  </w:style>
  <w:style w:type="paragraph" w:styleId="Index5">
    <w:name w:val="index 5"/>
    <w:basedOn w:val="Normal"/>
    <w:next w:val="Normal"/>
    <w:semiHidden/>
    <w:pPr>
      <w:ind w:left="1440"/>
    </w:pPr>
  </w:style>
  <w:style w:type="paragraph" w:styleId="Index4">
    <w:name w:val="index 4"/>
    <w:basedOn w:val="Normal"/>
    <w:next w:val="Normal"/>
    <w:semiHidden/>
    <w:pPr>
      <w:ind w:left="1080"/>
    </w:pPr>
  </w:style>
  <w:style w:type="paragraph" w:styleId="Index3">
    <w:name w:val="index 3"/>
    <w:basedOn w:val="Normal"/>
    <w:next w:val="Normal"/>
    <w:semiHidden/>
    <w:pPr>
      <w:ind w:left="720"/>
    </w:pPr>
  </w:style>
  <w:style w:type="paragraph" w:styleId="Index2">
    <w:name w:val="index 2"/>
    <w:basedOn w:val="Normal"/>
    <w:next w:val="Normal"/>
    <w:semiHidden/>
    <w:pPr>
      <w:ind w:left="360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rPr>
      <w:sz w:val="20"/>
    </w:rPr>
  </w:style>
  <w:style w:type="paragraph" w:customStyle="1" w:styleId="SpecialProvs">
    <w:name w:val="Special Provs"/>
    <w:basedOn w:val="Normal"/>
    <w:pPr>
      <w:tabs>
        <w:tab w:val="left" w:pos="720"/>
        <w:tab w:val="left" w:pos="1296"/>
        <w:tab w:val="left" w:pos="1872"/>
      </w:tabs>
    </w:pPr>
  </w:style>
  <w:style w:type="paragraph" w:customStyle="1" w:styleId="HEADER1">
    <w:name w:val="HEADER1"/>
    <w:basedOn w:val="Header"/>
    <w:pPr>
      <w:tabs>
        <w:tab w:val="clear" w:pos="8640"/>
        <w:tab w:val="right" w:pos="9360"/>
      </w:tabs>
    </w:pPr>
    <w:rPr>
      <w:rFonts w:ascii="Times New Roman" w:hAnsi="Times New Roman"/>
      <w:sz w:val="20"/>
    </w:rPr>
  </w:style>
  <w:style w:type="paragraph" w:styleId="EndnoteText">
    <w:name w:val="endnote text"/>
    <w:basedOn w:val="Normal"/>
    <w:semiHidden/>
    <w:rPr>
      <w:sz w:val="20"/>
    </w:rPr>
  </w:style>
  <w:style w:type="paragraph" w:styleId="BodyText3">
    <w:name w:val="Body Text 3"/>
    <w:basedOn w:val="Normal"/>
    <w:pPr>
      <w:jc w:val="both"/>
    </w:pPr>
  </w:style>
  <w:style w:type="paragraph" w:styleId="BodyText">
    <w:name w:val="Body Text"/>
    <w:basedOn w:val="Normal"/>
    <w:pPr>
      <w:pBdr>
        <w:right w:val="single" w:sz="4" w:space="4" w:color="auto"/>
      </w:pBd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both"/>
    </w:pPr>
    <w:rPr>
      <w:u w:val="single"/>
    </w:rPr>
  </w:style>
  <w:style w:type="paragraph" w:styleId="Title">
    <w:name w:val="Title"/>
    <w:basedOn w:val="Normal"/>
    <w:qFormat/>
    <w:pPr>
      <w:tabs>
        <w:tab w:val="left" w:pos="720"/>
        <w:tab w:val="left" w:pos="1267"/>
        <w:tab w:val="left" w:pos="1886"/>
        <w:tab w:val="left" w:pos="2880"/>
      </w:tabs>
      <w:spacing w:line="240" w:lineRule="atLeast"/>
      <w:jc w:val="center"/>
    </w:pPr>
    <w:rPr>
      <w:b/>
    </w:rPr>
  </w:style>
  <w:style w:type="paragraph" w:styleId="BodyText2">
    <w:name w:val="Body Text 2"/>
    <w:basedOn w:val="Normal"/>
    <w:pPr>
      <w:tabs>
        <w:tab w:val="left" w:pos="720"/>
        <w:tab w:val="left" w:pos="1267"/>
        <w:tab w:val="left" w:pos="1886"/>
        <w:tab w:val="left" w:pos="2880"/>
      </w:tabs>
      <w:spacing w:line="240" w:lineRule="atLeast"/>
    </w:pPr>
    <w:rPr>
      <w:b/>
    </w:rPr>
  </w:style>
  <w:style w:type="paragraph" w:styleId="BalloonText">
    <w:name w:val="Balloon Text"/>
    <w:basedOn w:val="Normal"/>
    <w:semiHidden/>
    <w:rsid w:val="00C57BD3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EF76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7639"/>
    <w:rPr>
      <w:sz w:val="20"/>
    </w:rPr>
  </w:style>
  <w:style w:type="character" w:customStyle="1" w:styleId="CommentTextChar">
    <w:name w:val="Comment Text Char"/>
    <w:link w:val="CommentText"/>
    <w:rsid w:val="00EF7639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0C719E"/>
    <w:pPr>
      <w:ind w:left="720"/>
    </w:pPr>
  </w:style>
  <w:style w:type="paragraph" w:customStyle="1" w:styleId="Default">
    <w:name w:val="Default"/>
    <w:rsid w:val="00A027F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ableHeading">
    <w:name w:val="Table Heading"/>
    <w:qFormat/>
    <w:rsid w:val="006519EF"/>
    <w:pPr>
      <w:jc w:val="center"/>
    </w:pPr>
    <w:rPr>
      <w:rFonts w:ascii="Arial" w:eastAsiaTheme="minorHAnsi" w:hAnsi="Arial" w:cstheme="minorBidi"/>
      <w:b/>
      <w:bCs/>
      <w:spacing w:val="20"/>
      <w:sz w:val="17"/>
      <w:szCs w:val="22"/>
    </w:rPr>
  </w:style>
  <w:style w:type="paragraph" w:customStyle="1" w:styleId="TableText">
    <w:name w:val="Table Text"/>
    <w:basedOn w:val="Normal"/>
    <w:qFormat/>
    <w:rsid w:val="006519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jc w:val="center"/>
    </w:pPr>
    <w:rPr>
      <w:rFonts w:eastAsiaTheme="minorHAnsi" w:cstheme="minorBidi"/>
      <w:spacing w:val="20"/>
      <w:sz w:val="17"/>
      <w:szCs w:val="22"/>
    </w:rPr>
  </w:style>
  <w:style w:type="paragraph" w:customStyle="1" w:styleId="ASub">
    <w:name w:val="(A) Sub"/>
    <w:qFormat/>
    <w:rsid w:val="006519EF"/>
    <w:pPr>
      <w:numPr>
        <w:numId w:val="6"/>
      </w:numPr>
      <w:tabs>
        <w:tab w:val="left" w:pos="1080"/>
        <w:tab w:val="left" w:pos="1440"/>
      </w:tabs>
      <w:suppressAutoHyphens/>
      <w:spacing w:after="240"/>
      <w:jc w:val="both"/>
    </w:pPr>
    <w:rPr>
      <w:rFonts w:ascii="Arial" w:eastAsiaTheme="minorHAnsi" w:hAnsi="Arial" w:cstheme="minorBidi"/>
      <w:spacing w:val="20"/>
      <w:sz w:val="17"/>
      <w:szCs w:val="22"/>
    </w:rPr>
  </w:style>
  <w:style w:type="paragraph" w:customStyle="1" w:styleId="1Sub">
    <w:name w:val="(1) Sub"/>
    <w:link w:val="1SubChar"/>
    <w:qFormat/>
    <w:rsid w:val="006519EF"/>
    <w:pPr>
      <w:numPr>
        <w:ilvl w:val="1"/>
        <w:numId w:val="6"/>
      </w:numPr>
      <w:tabs>
        <w:tab w:val="left" w:pos="1440"/>
      </w:tabs>
      <w:spacing w:after="240"/>
      <w:jc w:val="both"/>
    </w:pPr>
    <w:rPr>
      <w:rFonts w:ascii="Arial" w:eastAsiaTheme="minorHAnsi" w:hAnsi="Arial" w:cstheme="minorBidi"/>
      <w:spacing w:val="20"/>
      <w:sz w:val="17"/>
      <w:szCs w:val="22"/>
    </w:rPr>
  </w:style>
  <w:style w:type="paragraph" w:customStyle="1" w:styleId="aSub0">
    <w:name w:val="(a) Sub"/>
    <w:qFormat/>
    <w:rsid w:val="006519EF"/>
    <w:pPr>
      <w:numPr>
        <w:ilvl w:val="2"/>
        <w:numId w:val="6"/>
      </w:numPr>
      <w:tabs>
        <w:tab w:val="left" w:pos="1800"/>
      </w:tabs>
      <w:spacing w:after="240"/>
      <w:jc w:val="both"/>
    </w:pPr>
    <w:rPr>
      <w:rFonts w:ascii="Arial" w:eastAsiaTheme="minorHAnsi" w:hAnsi="Arial" w:cstheme="minorBidi"/>
      <w:spacing w:val="20"/>
      <w:sz w:val="17"/>
      <w:szCs w:val="22"/>
    </w:rPr>
  </w:style>
  <w:style w:type="paragraph" w:customStyle="1" w:styleId="iSub">
    <w:name w:val="(i) Sub"/>
    <w:qFormat/>
    <w:rsid w:val="006519EF"/>
    <w:pPr>
      <w:numPr>
        <w:ilvl w:val="3"/>
        <w:numId w:val="6"/>
      </w:numPr>
      <w:tabs>
        <w:tab w:val="left" w:pos="2160"/>
      </w:tabs>
      <w:spacing w:after="240"/>
      <w:ind w:left="2160"/>
      <w:jc w:val="both"/>
    </w:pPr>
    <w:rPr>
      <w:rFonts w:ascii="Arial" w:eastAsiaTheme="minorHAnsi" w:hAnsi="Arial" w:cstheme="minorBidi"/>
      <w:spacing w:val="20"/>
      <w:sz w:val="17"/>
      <w:szCs w:val="22"/>
    </w:rPr>
  </w:style>
  <w:style w:type="character" w:customStyle="1" w:styleId="1SubChar">
    <w:name w:val="(1) Sub Char"/>
    <w:basedOn w:val="DefaultParagraphFont"/>
    <w:link w:val="1Sub"/>
    <w:rsid w:val="006519EF"/>
    <w:rPr>
      <w:rFonts w:ascii="Arial" w:eastAsiaTheme="minorHAnsi" w:hAnsi="Arial" w:cstheme="minorBidi"/>
      <w:spacing w:val="20"/>
      <w:sz w:val="17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Indent"/>
    <w:qFormat/>
    <w:pPr>
      <w:ind w:left="360"/>
      <w:outlineLvl w:val="3"/>
    </w:pPr>
    <w:rPr>
      <w:rFonts w:ascii="Times New Roman" w:hAnsi="Times New Roman"/>
      <w:u w:val="single"/>
    </w:rPr>
  </w:style>
  <w:style w:type="paragraph" w:styleId="Heading5">
    <w:name w:val="heading 5"/>
    <w:basedOn w:val="Normal"/>
    <w:next w:val="NormalIndent"/>
    <w:qFormat/>
    <w:pPr>
      <w:ind w:left="720"/>
      <w:outlineLvl w:val="4"/>
    </w:pPr>
    <w:rPr>
      <w:rFonts w:ascii="Times New Roman" w:hAnsi="Times New Roman"/>
      <w:b/>
      <w:sz w:val="20"/>
    </w:rPr>
  </w:style>
  <w:style w:type="paragraph" w:styleId="Heading6">
    <w:name w:val="heading 6"/>
    <w:basedOn w:val="Normal"/>
    <w:next w:val="NormalIndent"/>
    <w:qFormat/>
    <w:pPr>
      <w:ind w:left="720"/>
      <w:outlineLvl w:val="5"/>
    </w:pPr>
    <w:rPr>
      <w:rFonts w:ascii="Times New Roman" w:hAnsi="Times New Roman"/>
      <w:sz w:val="20"/>
      <w:u w:val="single"/>
    </w:rPr>
  </w:style>
  <w:style w:type="paragraph" w:styleId="Heading7">
    <w:name w:val="heading 7"/>
    <w:basedOn w:val="Normal"/>
    <w:next w:val="NormalIndent"/>
    <w:qFormat/>
    <w:pPr>
      <w:ind w:left="720"/>
      <w:outlineLvl w:val="6"/>
    </w:pPr>
    <w:rPr>
      <w:rFonts w:ascii="Times New Roman" w:hAnsi="Times New Roman"/>
      <w:i/>
      <w:sz w:val="20"/>
    </w:rPr>
  </w:style>
  <w:style w:type="paragraph" w:styleId="Heading8">
    <w:name w:val="heading 8"/>
    <w:basedOn w:val="Normal"/>
    <w:next w:val="NormalIndent"/>
    <w:qFormat/>
    <w:pPr>
      <w:ind w:left="720"/>
      <w:outlineLvl w:val="7"/>
    </w:pPr>
    <w:rPr>
      <w:rFonts w:ascii="Times New Roman" w:hAnsi="Times New Roman"/>
      <w:i/>
      <w:sz w:val="20"/>
    </w:rPr>
  </w:style>
  <w:style w:type="paragraph" w:styleId="Heading9">
    <w:name w:val="heading 9"/>
    <w:basedOn w:val="Normal"/>
    <w:next w:val="NormalIndent"/>
    <w:qFormat/>
    <w:pPr>
      <w:ind w:left="720"/>
      <w:outlineLvl w:val="8"/>
    </w:pPr>
    <w:rPr>
      <w:rFonts w:ascii="Times New Roman" w:hAnsi="Times New Roman"/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TOC2">
    <w:name w:val="toc 2"/>
    <w:basedOn w:val="Normal"/>
    <w:next w:val="Normal"/>
    <w:semiHidden/>
    <w:pPr>
      <w:tabs>
        <w:tab w:val="left" w:leader="dot" w:pos="8280"/>
        <w:tab w:val="right" w:pos="8640"/>
      </w:tabs>
      <w:ind w:left="720" w:right="720"/>
    </w:pPr>
  </w:style>
  <w:style w:type="paragraph" w:styleId="TOC1">
    <w:name w:val="toc 1"/>
    <w:basedOn w:val="Normal"/>
    <w:next w:val="Normal"/>
    <w:semiHidden/>
    <w:pPr>
      <w:tabs>
        <w:tab w:val="left" w:leader="dot" w:pos="8280"/>
        <w:tab w:val="right" w:pos="8640"/>
      </w:tabs>
      <w:ind w:right="720"/>
    </w:pPr>
  </w:style>
  <w:style w:type="paragraph" w:styleId="Index7">
    <w:name w:val="index 7"/>
    <w:basedOn w:val="Normal"/>
    <w:next w:val="Normal"/>
    <w:semiHidden/>
    <w:pPr>
      <w:ind w:left="2160"/>
    </w:pPr>
  </w:style>
  <w:style w:type="paragraph" w:styleId="Index6">
    <w:name w:val="index 6"/>
    <w:basedOn w:val="Normal"/>
    <w:next w:val="Normal"/>
    <w:semiHidden/>
    <w:pPr>
      <w:ind w:left="1800"/>
    </w:pPr>
  </w:style>
  <w:style w:type="paragraph" w:styleId="Index5">
    <w:name w:val="index 5"/>
    <w:basedOn w:val="Normal"/>
    <w:next w:val="Normal"/>
    <w:semiHidden/>
    <w:pPr>
      <w:ind w:left="1440"/>
    </w:pPr>
  </w:style>
  <w:style w:type="paragraph" w:styleId="Index4">
    <w:name w:val="index 4"/>
    <w:basedOn w:val="Normal"/>
    <w:next w:val="Normal"/>
    <w:semiHidden/>
    <w:pPr>
      <w:ind w:left="1080"/>
    </w:pPr>
  </w:style>
  <w:style w:type="paragraph" w:styleId="Index3">
    <w:name w:val="index 3"/>
    <w:basedOn w:val="Normal"/>
    <w:next w:val="Normal"/>
    <w:semiHidden/>
    <w:pPr>
      <w:ind w:left="720"/>
    </w:pPr>
  </w:style>
  <w:style w:type="paragraph" w:styleId="Index2">
    <w:name w:val="index 2"/>
    <w:basedOn w:val="Normal"/>
    <w:next w:val="Normal"/>
    <w:semiHidden/>
    <w:pPr>
      <w:ind w:left="360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rPr>
      <w:sz w:val="20"/>
    </w:rPr>
  </w:style>
  <w:style w:type="paragraph" w:customStyle="1" w:styleId="SpecialProvs">
    <w:name w:val="Special Provs"/>
    <w:basedOn w:val="Normal"/>
    <w:pPr>
      <w:tabs>
        <w:tab w:val="left" w:pos="720"/>
        <w:tab w:val="left" w:pos="1296"/>
        <w:tab w:val="left" w:pos="1872"/>
      </w:tabs>
    </w:pPr>
  </w:style>
  <w:style w:type="paragraph" w:customStyle="1" w:styleId="HEADER1">
    <w:name w:val="HEADER1"/>
    <w:basedOn w:val="Header"/>
    <w:pPr>
      <w:tabs>
        <w:tab w:val="clear" w:pos="8640"/>
        <w:tab w:val="right" w:pos="9360"/>
      </w:tabs>
    </w:pPr>
    <w:rPr>
      <w:rFonts w:ascii="Times New Roman" w:hAnsi="Times New Roman"/>
      <w:sz w:val="20"/>
    </w:rPr>
  </w:style>
  <w:style w:type="paragraph" w:styleId="EndnoteText">
    <w:name w:val="endnote text"/>
    <w:basedOn w:val="Normal"/>
    <w:semiHidden/>
    <w:rPr>
      <w:sz w:val="20"/>
    </w:rPr>
  </w:style>
  <w:style w:type="paragraph" w:styleId="BodyText3">
    <w:name w:val="Body Text 3"/>
    <w:basedOn w:val="Normal"/>
    <w:pPr>
      <w:jc w:val="both"/>
    </w:pPr>
  </w:style>
  <w:style w:type="paragraph" w:styleId="BodyText">
    <w:name w:val="Body Text"/>
    <w:basedOn w:val="Normal"/>
    <w:pPr>
      <w:pBdr>
        <w:right w:val="single" w:sz="4" w:space="4" w:color="auto"/>
      </w:pBd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both"/>
    </w:pPr>
    <w:rPr>
      <w:u w:val="single"/>
    </w:rPr>
  </w:style>
  <w:style w:type="paragraph" w:styleId="Title">
    <w:name w:val="Title"/>
    <w:basedOn w:val="Normal"/>
    <w:qFormat/>
    <w:pPr>
      <w:tabs>
        <w:tab w:val="left" w:pos="720"/>
        <w:tab w:val="left" w:pos="1267"/>
        <w:tab w:val="left" w:pos="1886"/>
        <w:tab w:val="left" w:pos="2880"/>
      </w:tabs>
      <w:spacing w:line="240" w:lineRule="atLeast"/>
      <w:jc w:val="center"/>
    </w:pPr>
    <w:rPr>
      <w:b/>
    </w:rPr>
  </w:style>
  <w:style w:type="paragraph" w:styleId="BodyText2">
    <w:name w:val="Body Text 2"/>
    <w:basedOn w:val="Normal"/>
    <w:pPr>
      <w:tabs>
        <w:tab w:val="left" w:pos="720"/>
        <w:tab w:val="left" w:pos="1267"/>
        <w:tab w:val="left" w:pos="1886"/>
        <w:tab w:val="left" w:pos="2880"/>
      </w:tabs>
      <w:spacing w:line="240" w:lineRule="atLeast"/>
    </w:pPr>
    <w:rPr>
      <w:b/>
    </w:rPr>
  </w:style>
  <w:style w:type="paragraph" w:styleId="BalloonText">
    <w:name w:val="Balloon Text"/>
    <w:basedOn w:val="Normal"/>
    <w:semiHidden/>
    <w:rsid w:val="00C57BD3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EF76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7639"/>
    <w:rPr>
      <w:sz w:val="20"/>
    </w:rPr>
  </w:style>
  <w:style w:type="character" w:customStyle="1" w:styleId="CommentTextChar">
    <w:name w:val="Comment Text Char"/>
    <w:link w:val="CommentText"/>
    <w:rsid w:val="00EF7639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0C719E"/>
    <w:pPr>
      <w:ind w:left="720"/>
    </w:pPr>
  </w:style>
  <w:style w:type="paragraph" w:customStyle="1" w:styleId="Default">
    <w:name w:val="Default"/>
    <w:rsid w:val="00A027F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ableHeading">
    <w:name w:val="Table Heading"/>
    <w:qFormat/>
    <w:rsid w:val="006519EF"/>
    <w:pPr>
      <w:jc w:val="center"/>
    </w:pPr>
    <w:rPr>
      <w:rFonts w:ascii="Arial" w:eastAsiaTheme="minorHAnsi" w:hAnsi="Arial" w:cstheme="minorBidi"/>
      <w:b/>
      <w:bCs/>
      <w:spacing w:val="20"/>
      <w:sz w:val="17"/>
      <w:szCs w:val="22"/>
    </w:rPr>
  </w:style>
  <w:style w:type="paragraph" w:customStyle="1" w:styleId="TableText">
    <w:name w:val="Table Text"/>
    <w:basedOn w:val="Normal"/>
    <w:qFormat/>
    <w:rsid w:val="006519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jc w:val="center"/>
    </w:pPr>
    <w:rPr>
      <w:rFonts w:eastAsiaTheme="minorHAnsi" w:cstheme="minorBidi"/>
      <w:spacing w:val="20"/>
      <w:sz w:val="17"/>
      <w:szCs w:val="22"/>
    </w:rPr>
  </w:style>
  <w:style w:type="paragraph" w:customStyle="1" w:styleId="ASub">
    <w:name w:val="(A) Sub"/>
    <w:qFormat/>
    <w:rsid w:val="006519EF"/>
    <w:pPr>
      <w:numPr>
        <w:numId w:val="6"/>
      </w:numPr>
      <w:tabs>
        <w:tab w:val="left" w:pos="1080"/>
        <w:tab w:val="left" w:pos="1440"/>
      </w:tabs>
      <w:suppressAutoHyphens/>
      <w:spacing w:after="240"/>
      <w:jc w:val="both"/>
    </w:pPr>
    <w:rPr>
      <w:rFonts w:ascii="Arial" w:eastAsiaTheme="minorHAnsi" w:hAnsi="Arial" w:cstheme="minorBidi"/>
      <w:spacing w:val="20"/>
      <w:sz w:val="17"/>
      <w:szCs w:val="22"/>
    </w:rPr>
  </w:style>
  <w:style w:type="paragraph" w:customStyle="1" w:styleId="1Sub">
    <w:name w:val="(1) Sub"/>
    <w:link w:val="1SubChar"/>
    <w:qFormat/>
    <w:rsid w:val="006519EF"/>
    <w:pPr>
      <w:numPr>
        <w:ilvl w:val="1"/>
        <w:numId w:val="6"/>
      </w:numPr>
      <w:tabs>
        <w:tab w:val="left" w:pos="1440"/>
      </w:tabs>
      <w:spacing w:after="240"/>
      <w:jc w:val="both"/>
    </w:pPr>
    <w:rPr>
      <w:rFonts w:ascii="Arial" w:eastAsiaTheme="minorHAnsi" w:hAnsi="Arial" w:cstheme="minorBidi"/>
      <w:spacing w:val="20"/>
      <w:sz w:val="17"/>
      <w:szCs w:val="22"/>
    </w:rPr>
  </w:style>
  <w:style w:type="paragraph" w:customStyle="1" w:styleId="aSub0">
    <w:name w:val="(a) Sub"/>
    <w:qFormat/>
    <w:rsid w:val="006519EF"/>
    <w:pPr>
      <w:numPr>
        <w:ilvl w:val="2"/>
        <w:numId w:val="6"/>
      </w:numPr>
      <w:tabs>
        <w:tab w:val="left" w:pos="1800"/>
      </w:tabs>
      <w:spacing w:after="240"/>
      <w:jc w:val="both"/>
    </w:pPr>
    <w:rPr>
      <w:rFonts w:ascii="Arial" w:eastAsiaTheme="minorHAnsi" w:hAnsi="Arial" w:cstheme="minorBidi"/>
      <w:spacing w:val="20"/>
      <w:sz w:val="17"/>
      <w:szCs w:val="22"/>
    </w:rPr>
  </w:style>
  <w:style w:type="paragraph" w:customStyle="1" w:styleId="iSub">
    <w:name w:val="(i) Sub"/>
    <w:qFormat/>
    <w:rsid w:val="006519EF"/>
    <w:pPr>
      <w:numPr>
        <w:ilvl w:val="3"/>
        <w:numId w:val="6"/>
      </w:numPr>
      <w:tabs>
        <w:tab w:val="left" w:pos="2160"/>
      </w:tabs>
      <w:spacing w:after="240"/>
      <w:ind w:left="2160"/>
      <w:jc w:val="both"/>
    </w:pPr>
    <w:rPr>
      <w:rFonts w:ascii="Arial" w:eastAsiaTheme="minorHAnsi" w:hAnsi="Arial" w:cstheme="minorBidi"/>
      <w:spacing w:val="20"/>
      <w:sz w:val="17"/>
      <w:szCs w:val="22"/>
    </w:rPr>
  </w:style>
  <w:style w:type="character" w:customStyle="1" w:styleId="1SubChar">
    <w:name w:val="(1) Sub Char"/>
    <w:basedOn w:val="DefaultParagraphFont"/>
    <w:link w:val="1Sub"/>
    <w:rsid w:val="006519EF"/>
    <w:rPr>
      <w:rFonts w:ascii="Arial" w:eastAsiaTheme="minorHAnsi" w:hAnsi="Arial" w:cstheme="minorBidi"/>
      <w:spacing w:val="20"/>
      <w:sz w:val="17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8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2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8" w:space="4" w:color="auto"/>
          </w:divBdr>
        </w:div>
        <w:div w:id="45471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8" w:space="4" w:color="auto"/>
          </w:divBdr>
        </w:div>
        <w:div w:id="151946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8" w:space="4" w:color="auto"/>
          </w:divBdr>
        </w:div>
        <w:div w:id="155727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8" w:space="4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7117D-A1CE-4626-9A9F-C79A9D27E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 be used when the Changeable Message Board</vt:lpstr>
    </vt:vector>
  </TitlesOfParts>
  <Company>Arizona Department of Transportation</Company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 be used when the Changeable Message Board</dc:title>
  <dc:creator>Employee</dc:creator>
  <cp:lastModifiedBy>Shiva Sunder</cp:lastModifiedBy>
  <cp:revision>3</cp:revision>
  <cp:lastPrinted>2022-08-08T17:56:00Z</cp:lastPrinted>
  <dcterms:created xsi:type="dcterms:W3CDTF">2022-09-26T22:49:00Z</dcterms:created>
  <dcterms:modified xsi:type="dcterms:W3CDTF">2022-09-30T15:35:00Z</dcterms:modified>
</cp:coreProperties>
</file>